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F4C" w:rsidRDefault="00381575">
      <w:pPr>
        <w:spacing w:before="2400" w:line="773" w:lineRule="exact"/>
        <w:jc w:val="center"/>
        <w:rPr>
          <w:rFonts w:ascii="宋体" w:eastAsia="宋体" w:hAnsi="宋体" w:cs="宋体"/>
          <w:b/>
          <w:bCs/>
          <w:sz w:val="36"/>
          <w:szCs w:val="36"/>
        </w:rPr>
      </w:pPr>
      <w:r>
        <w:rPr>
          <w:rFonts w:ascii="宋体" w:eastAsia="宋体" w:hAnsi="宋体" w:cs="宋体"/>
          <w:b/>
          <w:bCs/>
          <w:sz w:val="36"/>
          <w:szCs w:val="36"/>
        </w:rPr>
        <w:t>广东翔鹭钨业股份有限公司</w:t>
      </w:r>
    </w:p>
    <w:p w:rsidR="00E22F4C" w:rsidRDefault="00381575">
      <w:pPr>
        <w:spacing w:before="1000" w:line="240" w:lineRule="exact"/>
        <w:jc w:val="center"/>
        <w:rPr>
          <w:rFonts w:ascii="宋体" w:eastAsia="宋体" w:hAnsi="宋体" w:cs="宋体"/>
          <w:b/>
          <w:bCs/>
          <w:sz w:val="32"/>
          <w:szCs w:val="32"/>
        </w:rPr>
      </w:pPr>
      <w:r>
        <w:rPr>
          <w:rFonts w:ascii="宋体" w:eastAsia="宋体" w:hAnsi="宋体" w:cs="宋体"/>
          <w:b/>
          <w:bCs/>
          <w:sz w:val="32"/>
          <w:szCs w:val="32"/>
        </w:rPr>
        <w:t>2022年年度报告</w:t>
      </w:r>
    </w:p>
    <w:p w:rsidR="00E22F4C" w:rsidRDefault="00E22F4C">
      <w:pPr>
        <w:spacing w:before="1000" w:line="240" w:lineRule="exact"/>
        <w:jc w:val="center"/>
        <w:rPr>
          <w:rFonts w:ascii="宋体" w:eastAsia="宋体" w:hAnsi="宋体" w:cs="宋体"/>
          <w:b/>
          <w:bCs/>
          <w:szCs w:val="21"/>
        </w:rPr>
      </w:pPr>
    </w:p>
    <w:p w:rsidR="00E22F4C" w:rsidRDefault="00381575">
      <w:pPr>
        <w:spacing w:before="1000" w:after="1000" w:line="0" w:lineRule="atLeast"/>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333375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ext uri="{28A0092B-C50C-407E-A947-70E740481C1C}"/>
                      </a:extLst>
                    </a:blip>
                    <a:stretch>
                      <a:fillRect/>
                    </a:stretch>
                  </pic:blipFill>
                  <pic:spPr>
                    <a:xfrm>
                      <a:off x="0" y="0"/>
                      <a:ext cx="3333750" cy="3333750"/>
                    </a:xfrm>
                    <a:prstGeom prst="rect">
                      <a:avLst/>
                    </a:prstGeom>
                  </pic:spPr>
                </pic:pic>
              </a:graphicData>
            </a:graphic>
          </wp:inline>
        </w:drawing>
      </w:r>
    </w:p>
    <w:p w:rsidR="00E22F4C" w:rsidRDefault="0077016B">
      <w:pPr>
        <w:spacing w:before="400" w:line="320" w:lineRule="exact"/>
        <w:jc w:val="center"/>
        <w:rPr>
          <w:rFonts w:ascii="宋体" w:eastAsia="宋体" w:hAnsi="宋体" w:cs="宋体"/>
          <w:b/>
          <w:bCs/>
          <w:sz w:val="32"/>
          <w:szCs w:val="32"/>
        </w:rPr>
      </w:pPr>
      <w:r>
        <w:rPr>
          <w:rFonts w:ascii="宋体" w:eastAsia="宋体" w:hAnsi="宋体" w:cs="宋体" w:hint="eastAsia"/>
          <w:b/>
          <w:bCs/>
          <w:sz w:val="32"/>
          <w:szCs w:val="32"/>
        </w:rPr>
        <w:t>2023年4月21日</w:t>
      </w:r>
    </w:p>
    <w:p w:rsidR="00E22F4C" w:rsidRDefault="00381575">
      <w:r>
        <w:br w:type="page"/>
      </w:r>
    </w:p>
    <w:p w:rsidR="00E22F4C" w:rsidRDefault="00381575">
      <w:pPr>
        <w:spacing w:before="1000" w:after="40" w:line="440" w:lineRule="exact"/>
        <w:jc w:val="center"/>
        <w:rPr>
          <w:rFonts w:ascii="宋体" w:eastAsia="宋体" w:hAnsi="宋体" w:cs="宋体"/>
          <w:b/>
          <w:bCs/>
          <w:sz w:val="44"/>
          <w:szCs w:val="44"/>
        </w:rPr>
      </w:pPr>
      <w:r>
        <w:rPr>
          <w:rFonts w:ascii="宋体" w:eastAsia="宋体" w:hAnsi="宋体" w:cs="宋体"/>
          <w:b/>
          <w:bCs/>
          <w:sz w:val="44"/>
          <w:szCs w:val="44"/>
        </w:rPr>
        <w:lastRenderedPageBreak/>
        <w:t>2022年年度报告</w:t>
      </w:r>
    </w:p>
    <w:p w:rsidR="00E22F4C" w:rsidRDefault="00381575">
      <w:pPr>
        <w:pStyle w:val="headingh1"/>
        <w:spacing w:before="340" w:after="330" w:line="773" w:lineRule="exact"/>
        <w:jc w:val="center"/>
        <w:rPr>
          <w:rFonts w:ascii="宋体" w:eastAsia="宋体" w:hAnsi="宋体" w:cs="宋体"/>
          <w:b/>
          <w:bCs/>
          <w:sz w:val="32"/>
          <w:szCs w:val="32"/>
        </w:rPr>
      </w:pPr>
      <w:bookmarkStart w:id="0" w:name="_Toc988889"/>
      <w:r>
        <w:rPr>
          <w:rFonts w:ascii="宋体" w:eastAsia="宋体" w:hAnsi="宋体" w:cs="宋体"/>
          <w:b/>
          <w:bCs/>
          <w:sz w:val="32"/>
          <w:szCs w:val="32"/>
        </w:rPr>
        <w:t>第一节 重要提示、目录和释义</w:t>
      </w:r>
      <w:bookmarkEnd w:id="0"/>
    </w:p>
    <w:p w:rsidR="00E22F4C" w:rsidRDefault="00381575" w:rsidP="007C0AE3">
      <w:pPr>
        <w:spacing w:before="40" w:after="40"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公司董事会、监事会及董事、监事、高级管理人员保证年度报告内容的真实、准确、完整，不存在虚假记载、误导性陈述或重大遗漏，并承担个别和连带的法律责任。</w:t>
      </w:r>
    </w:p>
    <w:p w:rsidR="00E22F4C" w:rsidRDefault="00381575" w:rsidP="007C0AE3">
      <w:pPr>
        <w:spacing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公司负责人陈启丰、主管会计工作负责人郑丽芳及会计机构负责人(会计主管人员)陈东洁声明：保证本年度报告中财务报告的真实、准确、完整。</w:t>
      </w:r>
    </w:p>
    <w:p w:rsidR="00E22F4C" w:rsidRDefault="00381575">
      <w:pPr>
        <w:spacing w:line="560" w:lineRule="exact"/>
        <w:rPr>
          <w:rFonts w:ascii="宋体" w:eastAsia="宋体" w:hAnsi="宋体" w:cs="宋体"/>
          <w:b/>
          <w:bCs/>
          <w:sz w:val="28"/>
          <w:szCs w:val="28"/>
        </w:rPr>
      </w:pPr>
      <w:r>
        <w:rPr>
          <w:rFonts w:ascii="宋体" w:eastAsia="宋体" w:hAnsi="宋体" w:cs="宋体"/>
          <w:b/>
          <w:bCs/>
          <w:sz w:val="28"/>
          <w:szCs w:val="28"/>
        </w:rPr>
        <w:t>所有董事均已出席了审议本报告的董事会会议。</w:t>
      </w:r>
    </w:p>
    <w:p w:rsidR="00E22F4C" w:rsidRDefault="00381575" w:rsidP="007C0AE3">
      <w:pPr>
        <w:spacing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公司计划不派发现金红利，不送红股，不以公积金转增股本。</w:t>
      </w:r>
    </w:p>
    <w:p w:rsidR="00E22F4C" w:rsidRDefault="00381575">
      <w:r>
        <w:br w:type="page"/>
      </w:r>
    </w:p>
    <w:p w:rsidR="00E22F4C" w:rsidRDefault="00381575">
      <w:pPr>
        <w:spacing w:line="720" w:lineRule="exact"/>
        <w:jc w:val="center"/>
        <w:rPr>
          <w:rFonts w:ascii="宋体" w:eastAsia="宋体" w:hAnsi="宋体" w:cs="宋体"/>
          <w:b/>
          <w:bCs/>
          <w:sz w:val="36"/>
          <w:szCs w:val="36"/>
        </w:rPr>
      </w:pPr>
      <w:r>
        <w:rPr>
          <w:rFonts w:ascii="宋体" w:eastAsia="宋体" w:hAnsi="宋体" w:cs="宋体"/>
          <w:b/>
          <w:bCs/>
          <w:sz w:val="36"/>
          <w:szCs w:val="36"/>
        </w:rPr>
        <w:lastRenderedPageBreak/>
        <w:t>目录</w:t>
      </w:r>
    </w:p>
    <w:p w:rsidR="007C0AE3" w:rsidRPr="00A83D91" w:rsidRDefault="009A3D61" w:rsidP="007C0AE3">
      <w:pPr>
        <w:pStyle w:val="WPSOffice1"/>
        <w:tabs>
          <w:tab w:val="right" w:leader="dot" w:pos="9637"/>
        </w:tabs>
        <w:rPr>
          <w:b/>
          <w:bCs/>
          <w:sz w:val="24"/>
          <w:szCs w:val="24"/>
        </w:rPr>
      </w:pPr>
      <w:r w:rsidRPr="009A3D61">
        <w:rPr>
          <w:b/>
          <w:bCs/>
          <w:sz w:val="24"/>
          <w:szCs w:val="24"/>
        </w:rPr>
        <w:fldChar w:fldCharType="begin"/>
      </w:r>
      <w:r w:rsidR="007C0AE3" w:rsidRPr="00A83D91">
        <w:rPr>
          <w:b/>
          <w:bCs/>
          <w:sz w:val="24"/>
          <w:szCs w:val="24"/>
        </w:rPr>
        <w:instrText xml:space="preserve">TOC \o "1-1" \h \u </w:instrText>
      </w:r>
      <w:r w:rsidRPr="009A3D61">
        <w:rPr>
          <w:b/>
          <w:bCs/>
          <w:sz w:val="24"/>
          <w:szCs w:val="24"/>
        </w:rPr>
        <w:fldChar w:fldCharType="separate"/>
      </w:r>
      <w:hyperlink w:anchor="_Toc12444" w:history="1">
        <w:r w:rsidR="007C0AE3" w:rsidRPr="00A83D91">
          <w:rPr>
            <w:rFonts w:ascii="宋体" w:hAnsi="宋体" w:cs="宋体"/>
            <w:b/>
            <w:bCs/>
            <w:sz w:val="24"/>
            <w:szCs w:val="24"/>
          </w:rPr>
          <w:t>第一节 重要提示、目录和释义</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_Toc12444 \h </w:instrText>
        </w:r>
        <w:r w:rsidRPr="00A83D91">
          <w:rPr>
            <w:b/>
            <w:bCs/>
            <w:sz w:val="24"/>
            <w:szCs w:val="24"/>
          </w:rPr>
        </w:r>
        <w:r w:rsidRPr="00A83D91">
          <w:rPr>
            <w:b/>
            <w:bCs/>
            <w:sz w:val="24"/>
            <w:szCs w:val="24"/>
          </w:rPr>
          <w:fldChar w:fldCharType="separate"/>
        </w:r>
        <w:r w:rsidR="007C0AE3" w:rsidRPr="00A83D91">
          <w:rPr>
            <w:b/>
            <w:bCs/>
            <w:sz w:val="24"/>
            <w:szCs w:val="24"/>
          </w:rPr>
          <w:t>2</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27235" w:history="1">
        <w:r w:rsidR="007C0AE3" w:rsidRPr="00A83D91">
          <w:rPr>
            <w:rFonts w:ascii="宋体" w:hAnsi="宋体" w:cs="宋体"/>
            <w:b/>
            <w:bCs/>
            <w:sz w:val="24"/>
            <w:szCs w:val="24"/>
          </w:rPr>
          <w:t>第二节 公司简介和主要财务指标</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_Toc27235 \h </w:instrText>
        </w:r>
        <w:r w:rsidRPr="00A83D91">
          <w:rPr>
            <w:b/>
            <w:bCs/>
            <w:sz w:val="24"/>
            <w:szCs w:val="24"/>
          </w:rPr>
        </w:r>
        <w:r w:rsidRPr="00A83D91">
          <w:rPr>
            <w:b/>
            <w:bCs/>
            <w:sz w:val="24"/>
            <w:szCs w:val="24"/>
          </w:rPr>
          <w:fldChar w:fldCharType="separate"/>
        </w:r>
        <w:r w:rsidR="007C0AE3" w:rsidRPr="00A83D91">
          <w:rPr>
            <w:b/>
            <w:bCs/>
            <w:sz w:val="24"/>
            <w:szCs w:val="24"/>
          </w:rPr>
          <w:t>6</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915" w:history="1">
        <w:r w:rsidR="007C0AE3" w:rsidRPr="00A83D91">
          <w:rPr>
            <w:rFonts w:ascii="宋体" w:hAnsi="宋体" w:cs="宋体"/>
            <w:b/>
            <w:bCs/>
            <w:sz w:val="24"/>
            <w:szCs w:val="24"/>
          </w:rPr>
          <w:t>第三节 管理层讨论与分析</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_Toc915 \h </w:instrText>
        </w:r>
        <w:r w:rsidRPr="00A83D91">
          <w:rPr>
            <w:b/>
            <w:bCs/>
            <w:sz w:val="24"/>
            <w:szCs w:val="24"/>
          </w:rPr>
        </w:r>
        <w:r w:rsidRPr="00A83D91">
          <w:rPr>
            <w:b/>
            <w:bCs/>
            <w:sz w:val="24"/>
            <w:szCs w:val="24"/>
          </w:rPr>
          <w:fldChar w:fldCharType="separate"/>
        </w:r>
        <w:r w:rsidR="007C0AE3" w:rsidRPr="00A83D91">
          <w:rPr>
            <w:b/>
            <w:bCs/>
            <w:sz w:val="24"/>
            <w:szCs w:val="24"/>
          </w:rPr>
          <w:t>10</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18649" w:history="1">
        <w:r w:rsidR="007C0AE3" w:rsidRPr="00A83D91">
          <w:rPr>
            <w:rFonts w:ascii="宋体" w:hAnsi="宋体" w:cs="宋体"/>
            <w:b/>
            <w:bCs/>
            <w:sz w:val="24"/>
            <w:szCs w:val="24"/>
          </w:rPr>
          <w:t>第四节 公司治理</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_Toc18649 \h </w:instrText>
        </w:r>
        <w:r w:rsidRPr="00A83D91">
          <w:rPr>
            <w:b/>
            <w:bCs/>
            <w:sz w:val="24"/>
            <w:szCs w:val="24"/>
          </w:rPr>
        </w:r>
        <w:r w:rsidRPr="00A83D91">
          <w:rPr>
            <w:b/>
            <w:bCs/>
            <w:sz w:val="24"/>
            <w:szCs w:val="24"/>
          </w:rPr>
          <w:fldChar w:fldCharType="separate"/>
        </w:r>
        <w:r w:rsidR="007C0AE3" w:rsidRPr="00A83D91">
          <w:rPr>
            <w:b/>
            <w:bCs/>
            <w:sz w:val="24"/>
            <w:szCs w:val="24"/>
          </w:rPr>
          <w:t>3</w:t>
        </w:r>
        <w:r w:rsidR="007C0AE3">
          <w:rPr>
            <w:rFonts w:hint="eastAsia"/>
            <w:b/>
            <w:bCs/>
            <w:sz w:val="24"/>
            <w:szCs w:val="24"/>
          </w:rPr>
          <w:t>8</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15801" w:history="1">
        <w:r w:rsidR="007C0AE3" w:rsidRPr="00A83D91">
          <w:rPr>
            <w:rFonts w:ascii="宋体" w:hAnsi="宋体" w:cs="宋体"/>
            <w:b/>
            <w:bCs/>
            <w:sz w:val="24"/>
            <w:szCs w:val="24"/>
          </w:rPr>
          <w:t>第五节 环境和社会责任</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_Toc15801 \h </w:instrText>
        </w:r>
        <w:r w:rsidRPr="00A83D91">
          <w:rPr>
            <w:b/>
            <w:bCs/>
            <w:sz w:val="24"/>
            <w:szCs w:val="24"/>
          </w:rPr>
        </w:r>
        <w:r w:rsidRPr="00A83D91">
          <w:rPr>
            <w:b/>
            <w:bCs/>
            <w:sz w:val="24"/>
            <w:szCs w:val="24"/>
          </w:rPr>
          <w:fldChar w:fldCharType="separate"/>
        </w:r>
        <w:r w:rsidR="007C0AE3" w:rsidRPr="00A83D91">
          <w:rPr>
            <w:b/>
            <w:bCs/>
            <w:sz w:val="24"/>
            <w:szCs w:val="24"/>
          </w:rPr>
          <w:t>5</w:t>
        </w:r>
        <w:r w:rsidR="007C0AE3">
          <w:rPr>
            <w:rFonts w:hint="eastAsia"/>
            <w:b/>
            <w:bCs/>
            <w:sz w:val="24"/>
            <w:szCs w:val="24"/>
          </w:rPr>
          <w:t>4</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27501" w:history="1">
        <w:r w:rsidR="007C0AE3" w:rsidRPr="00A83D91">
          <w:rPr>
            <w:rFonts w:ascii="宋体" w:hAnsi="宋体" w:cs="宋体"/>
            <w:b/>
            <w:bCs/>
            <w:sz w:val="24"/>
            <w:szCs w:val="24"/>
          </w:rPr>
          <w:t>第六节 重要事项</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_Toc27501 \h </w:instrText>
        </w:r>
        <w:r w:rsidRPr="00A83D91">
          <w:rPr>
            <w:b/>
            <w:bCs/>
            <w:sz w:val="24"/>
            <w:szCs w:val="24"/>
          </w:rPr>
        </w:r>
        <w:r w:rsidRPr="00A83D91">
          <w:rPr>
            <w:b/>
            <w:bCs/>
            <w:sz w:val="24"/>
            <w:szCs w:val="24"/>
          </w:rPr>
          <w:fldChar w:fldCharType="separate"/>
        </w:r>
        <w:r w:rsidR="007C0AE3" w:rsidRPr="00A83D91">
          <w:rPr>
            <w:b/>
            <w:bCs/>
            <w:sz w:val="24"/>
            <w:szCs w:val="24"/>
          </w:rPr>
          <w:t>58</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28165" w:history="1">
        <w:r w:rsidR="007C0AE3" w:rsidRPr="00A83D91">
          <w:rPr>
            <w:rFonts w:ascii="宋体" w:hAnsi="宋体" w:cs="宋体"/>
            <w:b/>
            <w:bCs/>
            <w:sz w:val="24"/>
            <w:szCs w:val="24"/>
          </w:rPr>
          <w:t>第七节 股份变动及股东情况</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_Toc28165 \h </w:instrText>
        </w:r>
        <w:r w:rsidRPr="00A83D91">
          <w:rPr>
            <w:b/>
            <w:bCs/>
            <w:sz w:val="24"/>
            <w:szCs w:val="24"/>
          </w:rPr>
        </w:r>
        <w:r w:rsidRPr="00A83D91">
          <w:rPr>
            <w:b/>
            <w:bCs/>
            <w:sz w:val="24"/>
            <w:szCs w:val="24"/>
          </w:rPr>
          <w:fldChar w:fldCharType="separate"/>
        </w:r>
        <w:r w:rsidR="007C0AE3" w:rsidRPr="00A83D91">
          <w:rPr>
            <w:b/>
            <w:bCs/>
            <w:sz w:val="24"/>
            <w:szCs w:val="24"/>
          </w:rPr>
          <w:t>64</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28948" w:history="1">
        <w:r w:rsidR="007C0AE3" w:rsidRPr="00A83D91">
          <w:rPr>
            <w:rFonts w:ascii="宋体" w:hAnsi="宋体" w:cs="宋体"/>
            <w:b/>
            <w:bCs/>
            <w:sz w:val="24"/>
            <w:szCs w:val="24"/>
          </w:rPr>
          <w:t>第八节 优先股相关情况</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_Toc28948 \h </w:instrText>
        </w:r>
        <w:r w:rsidRPr="00A83D91">
          <w:rPr>
            <w:b/>
            <w:bCs/>
            <w:sz w:val="24"/>
            <w:szCs w:val="24"/>
          </w:rPr>
        </w:r>
        <w:r w:rsidRPr="00A83D91">
          <w:rPr>
            <w:b/>
            <w:bCs/>
            <w:sz w:val="24"/>
            <w:szCs w:val="24"/>
          </w:rPr>
          <w:fldChar w:fldCharType="separate"/>
        </w:r>
        <w:r w:rsidR="007C0AE3" w:rsidRPr="00A83D91">
          <w:rPr>
            <w:b/>
            <w:bCs/>
            <w:sz w:val="24"/>
            <w:szCs w:val="24"/>
          </w:rPr>
          <w:t>70</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32144" w:history="1">
        <w:r w:rsidR="007C0AE3" w:rsidRPr="00A83D91">
          <w:rPr>
            <w:rFonts w:ascii="宋体" w:hAnsi="宋体" w:cs="宋体"/>
            <w:b/>
            <w:bCs/>
            <w:sz w:val="24"/>
            <w:szCs w:val="24"/>
          </w:rPr>
          <w:t>第九节 债券相关情况</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_Toc32144 \h </w:instrText>
        </w:r>
        <w:r w:rsidRPr="00A83D91">
          <w:rPr>
            <w:b/>
            <w:bCs/>
            <w:sz w:val="24"/>
            <w:szCs w:val="24"/>
          </w:rPr>
        </w:r>
        <w:r w:rsidRPr="00A83D91">
          <w:rPr>
            <w:b/>
            <w:bCs/>
            <w:sz w:val="24"/>
            <w:szCs w:val="24"/>
          </w:rPr>
          <w:fldChar w:fldCharType="separate"/>
        </w:r>
        <w:r w:rsidR="007C0AE3" w:rsidRPr="00A83D91">
          <w:rPr>
            <w:b/>
            <w:bCs/>
            <w:sz w:val="24"/>
            <w:szCs w:val="24"/>
          </w:rPr>
          <w:t>71</w:t>
        </w:r>
        <w:r w:rsidRPr="00A83D91">
          <w:rPr>
            <w:b/>
            <w:bCs/>
            <w:sz w:val="24"/>
            <w:szCs w:val="24"/>
          </w:rPr>
          <w:fldChar w:fldCharType="end"/>
        </w:r>
      </w:hyperlink>
    </w:p>
    <w:p w:rsidR="007C0AE3" w:rsidRPr="00A83D91" w:rsidRDefault="009A3D61" w:rsidP="007C0AE3">
      <w:pPr>
        <w:pStyle w:val="WPSOffice1"/>
        <w:tabs>
          <w:tab w:val="right" w:leader="dot" w:pos="9637"/>
        </w:tabs>
        <w:rPr>
          <w:b/>
          <w:bCs/>
          <w:sz w:val="24"/>
          <w:szCs w:val="24"/>
        </w:rPr>
      </w:pPr>
      <w:hyperlink w:anchor="_Toc13457" w:history="1">
        <w:r w:rsidR="007C0AE3" w:rsidRPr="00A83D91">
          <w:rPr>
            <w:rFonts w:ascii="宋体" w:hAnsi="宋体" w:cs="宋体"/>
            <w:b/>
            <w:bCs/>
            <w:sz w:val="24"/>
            <w:szCs w:val="24"/>
          </w:rPr>
          <w:t>第十节 财务报告</w:t>
        </w:r>
        <w:r w:rsidR="007C0AE3" w:rsidRPr="00A83D91">
          <w:rPr>
            <w:b/>
            <w:bCs/>
            <w:sz w:val="24"/>
            <w:szCs w:val="24"/>
          </w:rPr>
          <w:tab/>
        </w:r>
        <w:r w:rsidRPr="00A83D91">
          <w:rPr>
            <w:b/>
            <w:bCs/>
            <w:sz w:val="24"/>
            <w:szCs w:val="24"/>
          </w:rPr>
          <w:fldChar w:fldCharType="begin"/>
        </w:r>
        <w:r w:rsidR="007C0AE3" w:rsidRPr="00A83D91">
          <w:rPr>
            <w:b/>
            <w:bCs/>
            <w:sz w:val="24"/>
            <w:szCs w:val="24"/>
          </w:rPr>
          <w:instrText xml:space="preserve"> PAGEREF _Toc13457 \h </w:instrText>
        </w:r>
        <w:r w:rsidRPr="00A83D91">
          <w:rPr>
            <w:b/>
            <w:bCs/>
            <w:sz w:val="24"/>
            <w:szCs w:val="24"/>
          </w:rPr>
        </w:r>
        <w:r w:rsidRPr="00A83D91">
          <w:rPr>
            <w:b/>
            <w:bCs/>
            <w:sz w:val="24"/>
            <w:szCs w:val="24"/>
          </w:rPr>
          <w:fldChar w:fldCharType="separate"/>
        </w:r>
        <w:r w:rsidR="007C0AE3" w:rsidRPr="00A83D91">
          <w:rPr>
            <w:b/>
            <w:bCs/>
            <w:sz w:val="24"/>
            <w:szCs w:val="24"/>
          </w:rPr>
          <w:t>75</w:t>
        </w:r>
        <w:r w:rsidRPr="00A83D91">
          <w:rPr>
            <w:b/>
            <w:bCs/>
            <w:sz w:val="24"/>
            <w:szCs w:val="24"/>
          </w:rPr>
          <w:fldChar w:fldCharType="end"/>
        </w:r>
      </w:hyperlink>
    </w:p>
    <w:p w:rsidR="00E22F4C" w:rsidRDefault="009A3D61" w:rsidP="007C0AE3">
      <w:pPr>
        <w:pStyle w:val="10"/>
        <w:tabs>
          <w:tab w:val="left" w:leader="dot" w:pos="9469"/>
        </w:tabs>
        <w:rPr>
          <w:noProof/>
        </w:rPr>
      </w:pPr>
      <w:r w:rsidRPr="00A83D91">
        <w:rPr>
          <w:b/>
          <w:bCs/>
          <w:sz w:val="24"/>
          <w:szCs w:val="24"/>
        </w:rPr>
        <w:fldChar w:fldCharType="end"/>
      </w:r>
    </w:p>
    <w:p w:rsidR="00E22F4C" w:rsidRDefault="00381575">
      <w:r>
        <w:br w:type="page"/>
      </w:r>
    </w:p>
    <w:p w:rsidR="00E22F4C" w:rsidRDefault="00381575">
      <w:pPr>
        <w:spacing w:line="640" w:lineRule="exact"/>
        <w:jc w:val="center"/>
        <w:rPr>
          <w:rFonts w:ascii="宋体" w:eastAsia="宋体" w:hAnsi="宋体" w:cs="宋体"/>
          <w:b/>
          <w:bCs/>
          <w:sz w:val="32"/>
          <w:szCs w:val="32"/>
        </w:rPr>
      </w:pPr>
      <w:r>
        <w:rPr>
          <w:rFonts w:ascii="宋体" w:eastAsia="宋体" w:hAnsi="宋体" w:cs="宋体"/>
          <w:b/>
          <w:bCs/>
          <w:sz w:val="32"/>
          <w:szCs w:val="32"/>
        </w:rPr>
        <w:lastRenderedPageBreak/>
        <w:t>备查文件目录</w:t>
      </w:r>
    </w:p>
    <w:p w:rsidR="00E22F4C" w:rsidRDefault="00E22F4C">
      <w:pPr>
        <w:pStyle w:val="a4"/>
        <w:spacing w:line="560" w:lineRule="atLeast"/>
        <w:ind w:firstLine="408"/>
        <w:divId w:val="1251737731"/>
        <w:rPr>
          <w:sz w:val="18"/>
          <w:szCs w:val="18"/>
        </w:rPr>
      </w:pPr>
      <w:r>
        <w:rPr>
          <w:rFonts w:hint="eastAsia"/>
          <w:sz w:val="18"/>
          <w:szCs w:val="18"/>
        </w:rPr>
        <w:t>1、载有公司负责人陈启丰先生、主管会计工作负责人郑丽芳女士、会计主管人员陈东洁女士签名并盖章的财务报表。</w:t>
      </w:r>
    </w:p>
    <w:p w:rsidR="00E22F4C" w:rsidRDefault="00E22F4C">
      <w:pPr>
        <w:pStyle w:val="a4"/>
        <w:spacing w:line="560" w:lineRule="atLeast"/>
        <w:ind w:firstLine="408"/>
        <w:divId w:val="1251737731"/>
        <w:rPr>
          <w:sz w:val="18"/>
          <w:szCs w:val="18"/>
        </w:rPr>
      </w:pPr>
      <w:r>
        <w:rPr>
          <w:rFonts w:hint="eastAsia"/>
          <w:sz w:val="18"/>
          <w:szCs w:val="18"/>
        </w:rPr>
        <w:t>2、载有广东司农会计师事务所(特殊普通合伙)盖章、注册会计师签名并盖章的审计报告原件。</w:t>
      </w:r>
    </w:p>
    <w:p w:rsidR="00E22F4C" w:rsidRDefault="00E22F4C">
      <w:pPr>
        <w:pStyle w:val="a4"/>
        <w:spacing w:line="560" w:lineRule="atLeast"/>
        <w:ind w:firstLine="408"/>
        <w:divId w:val="1251737731"/>
        <w:rPr>
          <w:sz w:val="18"/>
          <w:szCs w:val="18"/>
        </w:rPr>
      </w:pPr>
      <w:r>
        <w:rPr>
          <w:rFonts w:hint="eastAsia"/>
          <w:sz w:val="18"/>
          <w:szCs w:val="18"/>
        </w:rPr>
        <w:t>3、报告期内在中国证监会指定信息披露媒体《中国证券报》、《 上海证券报》、《证券时报》、《证券日报》 以及指定网站巨潮资讯网(http://www.cninfo.com.cn)公开披露过的所有公司文件的正本及公告原稿。</w:t>
      </w:r>
    </w:p>
    <w:p w:rsidR="00E22F4C" w:rsidRDefault="00E22F4C">
      <w:pPr>
        <w:pStyle w:val="a4"/>
        <w:spacing w:line="560" w:lineRule="atLeast"/>
        <w:ind w:firstLine="408"/>
        <w:divId w:val="1251737731"/>
        <w:rPr>
          <w:sz w:val="18"/>
          <w:szCs w:val="18"/>
        </w:rPr>
      </w:pPr>
      <w:r>
        <w:rPr>
          <w:rFonts w:hint="eastAsia"/>
          <w:sz w:val="18"/>
          <w:szCs w:val="18"/>
        </w:rPr>
        <w:t>4、以上文件备置地点为公司董事会办公室。</w:t>
      </w:r>
    </w:p>
    <w:p w:rsidR="00E22F4C" w:rsidRDefault="00381575">
      <w:r>
        <w:br w:type="page"/>
      </w:r>
    </w:p>
    <w:p w:rsidR="00E22F4C" w:rsidRDefault="00381575">
      <w:pPr>
        <w:spacing w:before="40" w:after="40" w:line="560" w:lineRule="exact"/>
        <w:jc w:val="center"/>
        <w:rPr>
          <w:rFonts w:ascii="宋体" w:eastAsia="宋体" w:hAnsi="宋体" w:cs="宋体"/>
          <w:b/>
          <w:bCs/>
          <w:sz w:val="32"/>
          <w:szCs w:val="32"/>
        </w:rPr>
      </w:pPr>
      <w:r>
        <w:rPr>
          <w:rFonts w:ascii="宋体" w:eastAsia="宋体" w:hAnsi="宋体" w:cs="宋体"/>
          <w:b/>
          <w:bCs/>
          <w:sz w:val="32"/>
          <w:szCs w:val="32"/>
        </w:rPr>
        <w:lastRenderedPageBreak/>
        <w:t>释义</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释义项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释义内容</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公司、本公司、股份公司、翔鹭钨业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启龙有限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潮州启龙贸易有限公司</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江西翔鹭钨业有限公司（前身为大余隆鑫泰钨业有限公司）</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中国证监会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中国证券监督管理委员会</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深交所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深圳证券交易所</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保荐机构、主承销商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广发证券股份有限公司</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律师</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北京市竞天公诚律师事务所</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会计师</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广东司农会计师事务所（特殊普通合伙）</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报告期、本报告期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2022年1月1日至2022年12月31日</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报告期末、期末</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2022年12月31日</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人民币元</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《公司法》</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《中华人民共和国公司法》</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《公司章程》</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《广东翔鹭钨业股份有限公司章程》</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股东大会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广东翔鹭钨业股份有限公司股东大会</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广东翔鹭钨业股份有限公司董事会</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广东翔鹭钨业股份有限公司监事会</w:t>
            </w:r>
          </w:p>
        </w:tc>
      </w:tr>
    </w:tbl>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1" w:name="_Toc988890"/>
      <w:r>
        <w:rPr>
          <w:rFonts w:ascii="宋体" w:eastAsia="宋体" w:hAnsi="宋体" w:cs="宋体"/>
          <w:b/>
          <w:bCs/>
          <w:sz w:val="32"/>
          <w:szCs w:val="32"/>
        </w:rPr>
        <w:lastRenderedPageBreak/>
        <w:t>第二节 公司简介和主要财务指标</w:t>
      </w:r>
      <w:bookmarkEnd w:id="1"/>
    </w:p>
    <w:p w:rsidR="00E22F4C" w:rsidRDefault="00381575">
      <w:pPr>
        <w:pStyle w:val="2"/>
        <w:spacing w:before="300" w:after="300" w:line="320" w:lineRule="exact"/>
        <w:rPr>
          <w:rFonts w:ascii="宋体" w:eastAsia="宋体" w:hAnsi="宋体" w:cs="宋体"/>
          <w:b/>
          <w:bCs/>
          <w:sz w:val="24"/>
          <w:szCs w:val="24"/>
        </w:rPr>
      </w:pPr>
      <w:bookmarkStart w:id="2" w:name="_Toc988891"/>
      <w:r>
        <w:rPr>
          <w:rFonts w:ascii="宋体" w:eastAsia="宋体" w:hAnsi="宋体" w:cs="宋体"/>
          <w:b/>
          <w:bCs/>
          <w:sz w:val="24"/>
          <w:szCs w:val="24"/>
        </w:rPr>
        <w:t>一、公司信息</w:t>
      </w:r>
      <w:bookmarkEnd w:id="2"/>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股票简称</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翔鹭钨业</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股票代码</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002842</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股票上市证券交易所</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深圳证券交易所</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公司的中文名称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公司的中文简称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翔鹭钨业</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公司的外文名称（如有）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Guangdong Xianglu Tungsten Co., Ltd.</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公司的法定代表人</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注册地址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广东省潮州市湘桥区官塘镇庵头工业区</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注册地址的邮政编码</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515633</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公司注册地址历史变更情况</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办公地址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广东省潮州市湘桥区官塘镇庵头工业区</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办公地址的邮政编码</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515633</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公司网址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http://www.xl-tungsten.com</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电子信箱</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Stock@xl-tungsten.com</w:t>
            </w:r>
          </w:p>
        </w:tc>
      </w:tr>
    </w:tbl>
    <w:p w:rsidR="00E22F4C" w:rsidRDefault="00381575">
      <w:pPr>
        <w:pStyle w:val="2"/>
        <w:spacing w:before="300" w:after="300" w:line="320" w:lineRule="exact"/>
        <w:rPr>
          <w:rFonts w:ascii="宋体" w:eastAsia="宋体" w:hAnsi="宋体" w:cs="宋体"/>
          <w:b/>
          <w:bCs/>
          <w:sz w:val="24"/>
          <w:szCs w:val="24"/>
        </w:rPr>
      </w:pPr>
      <w:bookmarkStart w:id="3" w:name="_Toc988892"/>
      <w:r>
        <w:rPr>
          <w:rFonts w:ascii="宋体" w:eastAsia="宋体" w:hAnsi="宋体" w:cs="宋体"/>
          <w:b/>
          <w:bCs/>
          <w:sz w:val="24"/>
          <w:szCs w:val="24"/>
        </w:rPr>
        <w:t>二、联系人和联系方式</w:t>
      </w:r>
      <w:bookmarkEnd w:id="3"/>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董事会秘书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证券事务代表</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姓名</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李盛意</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杨逢</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联系地址</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广东省潮州市湘桥区官塘镇庵头工业区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广东省潮州市湘桥区官塘镇庵头工业区</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电话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0768-6972888(8068)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0768-6972888(8068)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传真</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0768-6303998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0768-6303998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电子信箱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Stock@xl-tungsten.com</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Stock@xl-tungsten.com</w:t>
            </w:r>
          </w:p>
        </w:tc>
      </w:tr>
    </w:tbl>
    <w:p w:rsidR="00E22F4C" w:rsidRDefault="00381575">
      <w:pPr>
        <w:pStyle w:val="2"/>
        <w:spacing w:before="300" w:after="300" w:line="320" w:lineRule="exact"/>
        <w:rPr>
          <w:rFonts w:ascii="宋体" w:eastAsia="宋体" w:hAnsi="宋体" w:cs="宋体"/>
          <w:b/>
          <w:bCs/>
          <w:sz w:val="24"/>
          <w:szCs w:val="24"/>
        </w:rPr>
      </w:pPr>
      <w:bookmarkStart w:id="4" w:name="_Toc988893"/>
      <w:r>
        <w:rPr>
          <w:rFonts w:ascii="宋体" w:eastAsia="宋体" w:hAnsi="宋体" w:cs="宋体"/>
          <w:b/>
          <w:bCs/>
          <w:sz w:val="24"/>
          <w:szCs w:val="24"/>
        </w:rPr>
        <w:t>三、信息披露及备置地点</w:t>
      </w:r>
      <w:bookmarkEnd w:id="4"/>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公司披露年度报告的证券交易所网站</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深圳证券交易所 http://www.szse.cn</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公司披露年度报告的媒体名称及网址</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《中国证券报》、《上海证券报》、《证券时报》、《证券日报》和巨潮资讯网（http://www.cninfo.com.cn）</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公司年度报告备置地点</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公司董事会办公室</w:t>
            </w:r>
          </w:p>
        </w:tc>
      </w:tr>
    </w:tbl>
    <w:p w:rsidR="00E22F4C" w:rsidRDefault="00381575">
      <w:pPr>
        <w:pStyle w:val="2"/>
        <w:spacing w:before="300" w:after="300" w:line="320" w:lineRule="exact"/>
        <w:rPr>
          <w:rFonts w:ascii="宋体" w:eastAsia="宋体" w:hAnsi="宋体" w:cs="宋体"/>
          <w:b/>
          <w:bCs/>
          <w:sz w:val="24"/>
          <w:szCs w:val="24"/>
        </w:rPr>
      </w:pPr>
      <w:bookmarkStart w:id="5" w:name="_Toc988894"/>
      <w:r>
        <w:rPr>
          <w:rFonts w:ascii="宋体" w:eastAsia="宋体" w:hAnsi="宋体" w:cs="宋体"/>
          <w:b/>
          <w:bCs/>
          <w:sz w:val="24"/>
          <w:szCs w:val="24"/>
        </w:rPr>
        <w:t>四、注册变更情况</w:t>
      </w:r>
      <w:bookmarkEnd w:id="5"/>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统一社会信用代码</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914451002823643033</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公司上市以来主营业务的变化情况（如有）</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无变更</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历次控股股东的变更情况（如有）</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无变更</w:t>
            </w:r>
          </w:p>
        </w:tc>
      </w:tr>
    </w:tbl>
    <w:p w:rsidR="00E22F4C" w:rsidRDefault="00381575">
      <w:pPr>
        <w:pStyle w:val="2"/>
        <w:spacing w:before="300" w:after="300" w:line="320" w:lineRule="exact"/>
        <w:rPr>
          <w:rFonts w:ascii="宋体" w:eastAsia="宋体" w:hAnsi="宋体" w:cs="宋体"/>
          <w:b/>
          <w:bCs/>
          <w:sz w:val="24"/>
          <w:szCs w:val="24"/>
        </w:rPr>
      </w:pPr>
      <w:bookmarkStart w:id="6" w:name="_Toc988895"/>
      <w:r>
        <w:rPr>
          <w:rFonts w:ascii="宋体" w:eastAsia="宋体" w:hAnsi="宋体" w:cs="宋体"/>
          <w:b/>
          <w:bCs/>
          <w:sz w:val="24"/>
          <w:szCs w:val="24"/>
        </w:rPr>
        <w:lastRenderedPageBreak/>
        <w:t>五、其他有关资料</w:t>
      </w:r>
      <w:bookmarkEnd w:id="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公司聘请的会计师事务所</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广东司农会计师事务所（特殊普通合伙）</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会计师事务所办公地址</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广东省广州市南沙区望江二街5号中惠璧珑湾自编12栋2514房</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签字会计师姓名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周锋、马钟宏</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公司聘请的报告期内履行持续督导职责的保荐机构</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保荐机构名称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保荐机构办公地址</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保荐代表人姓名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持续督导期间</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广发证券股份有限公司</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广州市天河区马场路26号广发证券大厦</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林义炳、陈昱民</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2019年9月16日-2020年12月31日，公司募集资金尚未使用完毕，保荐机构将对该事项继续履行持续督导义务。</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公司聘请的报告期内履行持续督导职责的财务顾问</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7" w:name="_Toc988896"/>
      <w:r>
        <w:rPr>
          <w:rFonts w:ascii="宋体" w:eastAsia="宋体" w:hAnsi="宋体" w:cs="宋体"/>
          <w:b/>
          <w:bCs/>
          <w:sz w:val="24"/>
          <w:szCs w:val="24"/>
        </w:rPr>
        <w:t>六、主要会计数据和财务指标</w:t>
      </w:r>
      <w:bookmarkEnd w:id="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公司是否需追溯调整或重述以前年度会计数据</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本年比上年增减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2020年</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营业收入（元）</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1,524,401,033.47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1,290,408,755.92</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归属于上市公司股东的净利润（元）</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-266.72%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41,583,223.33</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归属于上市公司股东的扣除非经常性损益的净利润（元）</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-51,365,319.59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17,032,039.69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-401.58%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-1,085,778.55</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经营活动产生的现金流量净额（元）</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58,860,439.25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31,072,401.60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89.43%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59,381,220.94</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基本每股收益（元/股）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-266.67%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稀释每股收益（元/股）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-266.67%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加权平均净资产收益率</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4.25%</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本年末比上年末增减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2020年末</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总资产（元）</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2,226,422,224.15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2,425,286,571.84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2,415,189,076.62</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归属于上市公司股东的净资产（元）</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956,508,837.78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986,763,653.28</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公司最近三个会计年度扣除非经常性损益前后净利润孰低者均为负值，且最近一年审计报告显示公司持续经营能力存在不确定性</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扣除非经常损益前后的净利润孰低者为负值</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1,524,401,033.47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营业收入扣除金额（元）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16,860,738.59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23,845,960.99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营业收入扣除后金额（元）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1,656,692,501.39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1,500,555,072.48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bl>
    <w:p w:rsidR="00E22F4C" w:rsidRDefault="00381575">
      <w:pPr>
        <w:pStyle w:val="2"/>
        <w:spacing w:before="300" w:after="300" w:line="320" w:lineRule="exact"/>
        <w:rPr>
          <w:rFonts w:ascii="宋体" w:eastAsia="宋体" w:hAnsi="宋体" w:cs="宋体"/>
          <w:b/>
          <w:bCs/>
          <w:sz w:val="24"/>
          <w:szCs w:val="24"/>
        </w:rPr>
      </w:pPr>
      <w:bookmarkStart w:id="8" w:name="_Toc988897"/>
      <w:r>
        <w:rPr>
          <w:rFonts w:ascii="宋体" w:eastAsia="宋体" w:hAnsi="宋体" w:cs="宋体"/>
          <w:b/>
          <w:bCs/>
          <w:sz w:val="24"/>
          <w:szCs w:val="24"/>
        </w:rPr>
        <w:t>七、境内外会计准则下会计数据差异</w:t>
      </w:r>
      <w:bookmarkEnd w:id="8"/>
    </w:p>
    <w:p w:rsidR="00E22F4C" w:rsidRDefault="00381575">
      <w:pPr>
        <w:pStyle w:val="3"/>
        <w:spacing w:line="280" w:lineRule="exact"/>
        <w:jc w:val="left"/>
        <w:rPr>
          <w:rFonts w:ascii="宋体" w:hAnsi="宋体" w:cs="宋体"/>
          <w:b/>
          <w:bCs/>
        </w:rPr>
      </w:pPr>
      <w:bookmarkStart w:id="9" w:name="_Toc988898"/>
      <w:r>
        <w:rPr>
          <w:rFonts w:ascii="宋体" w:hAnsi="宋体" w:cs="宋体"/>
          <w:b/>
          <w:bCs/>
        </w:rPr>
        <w:t>1、同时按照国际会计准则与按照中国会计准则披露的财务报告中净利润和净资产差异情况</w:t>
      </w:r>
      <w:bookmarkEnd w:id="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公司报告期不存在按照国际会计准则与按照中国会计准则披露的财务报告中净利润和净资产差异情况。</w:t>
      </w:r>
    </w:p>
    <w:p w:rsidR="00E22F4C" w:rsidRDefault="00381575">
      <w:pPr>
        <w:pStyle w:val="3"/>
        <w:spacing w:line="280" w:lineRule="exact"/>
        <w:jc w:val="left"/>
        <w:rPr>
          <w:rFonts w:ascii="宋体" w:hAnsi="宋体" w:cs="宋体"/>
          <w:b/>
          <w:bCs/>
        </w:rPr>
      </w:pPr>
      <w:bookmarkStart w:id="10" w:name="_Toc988899"/>
      <w:r>
        <w:rPr>
          <w:rFonts w:ascii="宋体" w:hAnsi="宋体" w:cs="宋体"/>
          <w:b/>
          <w:bCs/>
        </w:rPr>
        <w:t>2、同时按照境外会计准则与按照中国会计准则披露的财务报告中净利润和净资产差异情况</w:t>
      </w:r>
      <w:bookmarkEnd w:id="1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公司报告期不存在按照境外会计准则与按照中国会计准则披露的财务报告中净利润和净资产差异情况。</w:t>
      </w:r>
    </w:p>
    <w:p w:rsidR="00E22F4C" w:rsidRDefault="00381575">
      <w:pPr>
        <w:pStyle w:val="2"/>
        <w:spacing w:before="300" w:after="300" w:line="320" w:lineRule="exact"/>
        <w:rPr>
          <w:rFonts w:ascii="宋体" w:eastAsia="宋体" w:hAnsi="宋体" w:cs="宋体"/>
          <w:b/>
          <w:bCs/>
          <w:sz w:val="24"/>
          <w:szCs w:val="24"/>
        </w:rPr>
      </w:pPr>
      <w:bookmarkStart w:id="11" w:name="_Toc988900"/>
      <w:r>
        <w:rPr>
          <w:rFonts w:ascii="宋体" w:eastAsia="宋体" w:hAnsi="宋体" w:cs="宋体"/>
          <w:b/>
          <w:bCs/>
          <w:sz w:val="24"/>
          <w:szCs w:val="24"/>
        </w:rPr>
        <w:t>八、分季度主要财务指标</w:t>
      </w:r>
      <w:bookmarkEnd w:id="11"/>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第一季度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第二季度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第三季度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第四季度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448,809,255.80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451,933,094.60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383,359,117.70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389,451,771.88</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11,259,494.21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11,820,765.06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-1,039,955.02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-63,302,832.83</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7,493,627.46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8,865,631.82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-2,609,139.82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-65,115,439.05</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-11,490,370.15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37,899,584.74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18,098,625.02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14,352,599.64</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上述财务指标或其加总数是否与公司已披露季度报告、半年度报告相关财务指标存在重大差异</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pStyle w:val="2"/>
        <w:spacing w:before="300" w:after="300" w:line="320" w:lineRule="exact"/>
        <w:rPr>
          <w:rFonts w:ascii="宋体" w:eastAsia="宋体" w:hAnsi="宋体" w:cs="宋体"/>
          <w:b/>
          <w:bCs/>
          <w:sz w:val="24"/>
          <w:szCs w:val="24"/>
        </w:rPr>
      </w:pPr>
      <w:bookmarkStart w:id="12" w:name="_Toc988901"/>
      <w:r>
        <w:rPr>
          <w:rFonts w:ascii="宋体" w:eastAsia="宋体" w:hAnsi="宋体" w:cs="宋体"/>
          <w:b/>
          <w:bCs/>
          <w:sz w:val="24"/>
          <w:szCs w:val="24"/>
        </w:rPr>
        <w:t>九、非经常性损益项目及金额</w:t>
      </w:r>
      <w:bookmarkEnd w:id="12"/>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2020年金额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说明</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非流动资产处置损益（包括已计提资产减值准备的冲销部分）</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-1,745,815.84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-808,471.38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26,002,037.28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固定资产报废损失</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计入当期损益的政府补助（与公司正常经营业务密切相关，符合国家政策规定、按照一定标准定额或定量持续享受的政府补助除外）</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13,427,895.14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9,807,556.71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19,084,745.42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政府补助</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计入当期损益的对非金融企业收取的资金占用费</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239,649.71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3,492,031.48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251,710.08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1,391,227.60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可转债闲置资金理财等</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除上述各项之外的其他营业外收入和支出</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-649,443.01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-1,088,321.15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-226,316.86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捐赠支出等</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其他符合非经常性损益定义的损益项目</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582,662.49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67,744.48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1,920,114.39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减：所得税影响额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1,764,217.85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1,891,475.62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7,603,609.83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10,102,791.01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7,717,910.35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42,669,001.88</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shd w:val="clear" w:color="auto" w:fill="D3D3D3"/>
              </w:rPr>
            </w:pPr>
            <w:r>
              <w:rPr>
                <w:rFonts w:ascii="宋体" w:eastAsia="宋体" w:hAnsi="宋体" w:cs="宋体"/>
                <w:sz w:val="18"/>
                <w:szCs w:val="18"/>
                <w:shd w:val="clear" w:color="auto" w:fill="D3D3D3"/>
              </w:rPr>
              <w:t>--</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其他符合非经常性损益定义的损益项目的具体情况：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spacing w:line="200" w:lineRule="atLeast"/>
        <w:divId w:val="806553623"/>
        <w:rPr>
          <w:sz w:val="18"/>
          <w:szCs w:val="18"/>
        </w:rPr>
      </w:pPr>
      <w:r>
        <w:rPr>
          <w:rFonts w:ascii="微软雅黑" w:eastAsia="微软雅黑" w:hAnsi="微软雅黑" w:hint="eastAsia"/>
          <w:color w:val="171F46"/>
          <w:sz w:val="18"/>
          <w:szCs w:val="18"/>
          <w:shd w:val="clear" w:color="auto" w:fill="FFFFFF"/>
        </w:rPr>
        <w:t>主要为个税手续费返回，稳岗、就业补贴等</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将《公开发行证券的公司信息披露解释性公告第1号——非经常性损益》中列举的非经常性损益项目界定为经常性损益项目的情况说明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公司不存在将《公开发行证券的公司信息披露解释性公告第1号——非经常性损益》中列举的非经常性损益项目界定为经常性损益的项目的情形。</w:t>
      </w:r>
    </w:p>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13" w:name="_Toc988902"/>
      <w:r>
        <w:rPr>
          <w:rFonts w:ascii="宋体" w:eastAsia="宋体" w:hAnsi="宋体" w:cs="宋体"/>
          <w:b/>
          <w:bCs/>
          <w:sz w:val="32"/>
          <w:szCs w:val="32"/>
        </w:rPr>
        <w:lastRenderedPageBreak/>
        <w:t>第三节 管理层讨论与分析</w:t>
      </w:r>
      <w:bookmarkEnd w:id="13"/>
    </w:p>
    <w:p w:rsidR="00E22F4C" w:rsidRDefault="00381575">
      <w:pPr>
        <w:pStyle w:val="2"/>
        <w:spacing w:before="300" w:after="300" w:line="320" w:lineRule="exact"/>
        <w:rPr>
          <w:rFonts w:ascii="宋体" w:eastAsia="宋体" w:hAnsi="宋体" w:cs="宋体"/>
          <w:b/>
          <w:bCs/>
          <w:sz w:val="24"/>
          <w:szCs w:val="24"/>
        </w:rPr>
      </w:pPr>
      <w:bookmarkStart w:id="14" w:name="_Toc988903"/>
      <w:r>
        <w:rPr>
          <w:rFonts w:ascii="宋体" w:eastAsia="宋体" w:hAnsi="宋体" w:cs="宋体"/>
          <w:b/>
          <w:bCs/>
          <w:sz w:val="24"/>
          <w:szCs w:val="24"/>
        </w:rPr>
        <w:t>一、报告期内公司所处行业情况</w:t>
      </w:r>
      <w:bookmarkEnd w:id="14"/>
    </w:p>
    <w:p w:rsidR="00E22F4C" w:rsidRDefault="00381575">
      <w:pPr>
        <w:jc w:val="both"/>
      </w:pPr>
      <w:r>
        <w:rPr>
          <w:rFonts w:ascii="宋体" w:hAnsi="宋体"/>
          <w:color w:val="000000"/>
          <w:sz w:val="18"/>
        </w:rPr>
        <w:t>（一）国际钨行工业概况</w:t>
      </w:r>
    </w:p>
    <w:p w:rsidR="00E22F4C" w:rsidRDefault="00381575">
      <w:pPr>
        <w:ind w:firstLine="360"/>
      </w:pPr>
      <w:r>
        <w:rPr>
          <w:rFonts w:ascii="宋体" w:hAnsi="宋体"/>
          <w:color w:val="000000"/>
          <w:sz w:val="18"/>
        </w:rPr>
        <w:t>全球钨资源探明储量小幅增长、钨精矿产量保持平稳。据美国地质调查局（U.S. Geological Survey）数据，2022 年世界钨储量380 万吨（钨金属，下同），同比增长2.70%。全球钨资源主要分布在中国、俄罗斯和越南等国家，其中，中国钨储量180 万吨，占比47.37%，俄罗斯钨储量40 万吨，占比为10.53%，越南钨储量10 万吨，占比为2.63%。中国钨资源储量优势明显。</w:t>
      </w:r>
    </w:p>
    <w:p w:rsidR="00E22F4C" w:rsidRDefault="00381575">
      <w:r>
        <w:rPr>
          <w:noProof/>
        </w:rPr>
        <w:drawing>
          <wp:inline distT="0" distB="0" distL="0" distR="0">
            <wp:extent cx="5276850" cy="2238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8"/>
                    <a:srcRect/>
                    <a:stretch>
                      <a:fillRect/>
                    </a:stretch>
                  </pic:blipFill>
                  <pic:spPr bwMode="auto">
                    <a:xfrm>
                      <a:off x="0" y="0"/>
                      <a:ext cx="5276850" cy="2238375"/>
                    </a:xfrm>
                    <a:prstGeom prst="rect">
                      <a:avLst/>
                    </a:prstGeom>
                  </pic:spPr>
                </pic:pic>
              </a:graphicData>
            </a:graphic>
          </wp:inline>
        </w:drawing>
      </w:r>
    </w:p>
    <w:p w:rsidR="00E22F4C" w:rsidRDefault="00381575">
      <w:pPr>
        <w:ind w:firstLine="360"/>
      </w:pPr>
      <w:r>
        <w:rPr>
          <w:rFonts w:ascii="宋体" w:hAnsi="宋体"/>
          <w:color w:val="000000"/>
          <w:sz w:val="18"/>
        </w:rPr>
        <w:t>美国地质调查局数据显示，2022 年全球钨精矿产量84100 吨（钨金属量，下同），同比下降0.09%，总体保持平稳。钨精矿产量主要分布在中国、越南、俄罗斯等国各国产量情况见表2。</w:t>
      </w:r>
    </w:p>
    <w:p w:rsidR="00E22F4C" w:rsidRDefault="00381575">
      <w:r>
        <w:rPr>
          <w:noProof/>
        </w:rPr>
        <w:drawing>
          <wp:inline distT="0" distB="0" distL="0" distR="0">
            <wp:extent cx="5276850" cy="27146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9"/>
                    <a:srcRect/>
                    <a:stretch>
                      <a:fillRect/>
                    </a:stretch>
                  </pic:blipFill>
                  <pic:spPr bwMode="auto">
                    <a:xfrm>
                      <a:off x="0" y="0"/>
                      <a:ext cx="5276850" cy="2714625"/>
                    </a:xfrm>
                    <a:prstGeom prst="rect">
                      <a:avLst/>
                    </a:prstGeom>
                  </pic:spPr>
                </pic:pic>
              </a:graphicData>
            </a:graphic>
          </wp:inline>
        </w:drawing>
      </w:r>
    </w:p>
    <w:p w:rsidR="00E22F4C" w:rsidRDefault="00381575">
      <w:pPr>
        <w:ind w:firstLine="360"/>
      </w:pPr>
      <w:r>
        <w:rPr>
          <w:rFonts w:ascii="宋体" w:hAnsi="宋体"/>
          <w:color w:val="000000"/>
          <w:sz w:val="18"/>
        </w:rPr>
        <w:t> </w:t>
      </w:r>
    </w:p>
    <w:p w:rsidR="00E22F4C" w:rsidRDefault="00381575">
      <w:pPr>
        <w:jc w:val="both"/>
      </w:pPr>
      <w:r>
        <w:rPr>
          <w:rFonts w:ascii="宋体" w:hAnsi="宋体"/>
          <w:color w:val="000000"/>
          <w:sz w:val="18"/>
        </w:rPr>
        <w:t>（二）2022年中国钨工业发展状况</w:t>
      </w:r>
    </w:p>
    <w:p w:rsidR="00E22F4C" w:rsidRDefault="00381575">
      <w:pPr>
        <w:ind w:firstLine="360"/>
      </w:pPr>
      <w:r>
        <w:rPr>
          <w:rFonts w:ascii="宋体" w:hAnsi="宋体"/>
          <w:color w:val="000000"/>
          <w:sz w:val="18"/>
        </w:rPr>
        <w:t>1、经济运行情况概述</w:t>
      </w:r>
    </w:p>
    <w:p w:rsidR="00E22F4C" w:rsidRDefault="00381575">
      <w:pPr>
        <w:ind w:firstLine="360"/>
      </w:pPr>
      <w:r>
        <w:rPr>
          <w:rFonts w:ascii="宋体" w:hAnsi="宋体"/>
          <w:color w:val="000000"/>
          <w:sz w:val="18"/>
        </w:rPr>
        <w:t xml:space="preserve">（1）生产能力平稳增长。 </w:t>
      </w:r>
    </w:p>
    <w:p w:rsidR="00E22F4C" w:rsidRDefault="00381575">
      <w:pPr>
        <w:ind w:firstLine="360"/>
      </w:pPr>
      <w:r>
        <w:rPr>
          <w:rFonts w:ascii="宋体" w:hAnsi="宋体"/>
          <w:color w:val="000000"/>
          <w:sz w:val="18"/>
        </w:rPr>
        <w:t>主要钨产品生产能力增长总体平稳。</w:t>
      </w:r>
    </w:p>
    <w:p w:rsidR="00E22F4C" w:rsidRDefault="00381575">
      <w:pPr>
        <w:ind w:firstLine="360"/>
      </w:pPr>
      <w:r>
        <w:rPr>
          <w:rFonts w:ascii="宋体" w:hAnsi="宋体"/>
          <w:color w:val="000000"/>
          <w:sz w:val="18"/>
        </w:rPr>
        <w:t>由于新钨矿项目建成投产和部分矿山实施资源接替项目及技改扩能，钨精矿产能小幅增长；部分 APT 产能逐步退出，</w:t>
      </w:r>
      <w:r>
        <w:rPr>
          <w:rFonts w:ascii="宋体" w:hAnsi="宋体"/>
          <w:color w:val="000000"/>
          <w:sz w:val="18"/>
        </w:rPr>
        <w:lastRenderedPageBreak/>
        <w:t>同时技改扩能新增了部分产能，总体略有下降；部分粉末、合金企业技改扩能，碳化钨粉产能有所增长；硬质合金集约化发展加速，产能增长较快；钨铁产能因需求长期低迷，部分产能退出。近 5 年全国主要钨产品生产能力见图 1。</w:t>
      </w:r>
    </w:p>
    <w:p w:rsidR="00E22F4C" w:rsidRDefault="00381575">
      <w:pPr>
        <w:ind w:firstLine="360"/>
      </w:pPr>
      <w:r>
        <w:rPr>
          <w:noProof/>
        </w:rPr>
        <w:drawing>
          <wp:inline distT="0" distB="0" distL="0" distR="0">
            <wp:extent cx="5267325" cy="25336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0"/>
                    <a:srcRect/>
                    <a:stretch>
                      <a:fillRect/>
                    </a:stretch>
                  </pic:blipFill>
                  <pic:spPr bwMode="auto">
                    <a:xfrm>
                      <a:off x="0" y="0"/>
                      <a:ext cx="5267325" cy="2533650"/>
                    </a:xfrm>
                    <a:prstGeom prst="rect">
                      <a:avLst/>
                    </a:prstGeom>
                  </pic:spPr>
                </pic:pic>
              </a:graphicData>
            </a:graphic>
          </wp:inline>
        </w:drawing>
      </w:r>
    </w:p>
    <w:p w:rsidR="00E22F4C" w:rsidRDefault="00381575">
      <w:pPr>
        <w:ind w:firstLine="360"/>
      </w:pPr>
      <w:r>
        <w:rPr>
          <w:rFonts w:ascii="宋体" w:hAnsi="宋体"/>
          <w:color w:val="000000"/>
          <w:sz w:val="18"/>
        </w:rPr>
        <w:t>（2）</w:t>
      </w:r>
      <w:r>
        <w:rPr>
          <w:rFonts w:ascii="宋体" w:hAnsi="宋体"/>
          <w:sz w:val="20"/>
        </w:rPr>
        <w:t>主要产品产量小幅下降，钨丝产量增幅巨大。</w:t>
      </w:r>
    </w:p>
    <w:p w:rsidR="00E22F4C" w:rsidRDefault="00381575">
      <w:pPr>
        <w:ind w:firstLine="360"/>
      </w:pPr>
      <w:r>
        <w:rPr>
          <w:rFonts w:ascii="宋体" w:hAnsi="宋体"/>
          <w:color w:val="000000"/>
          <w:sz w:val="18"/>
        </w:rPr>
        <w:t>据中国钨业协会统计，2022年全国钨精矿产量 12.73万吨（折WO365%吨，简称标吨），同比下降 6.04%，硬质合金产量 5.05万吨，同比下降 0.98%；来自光伏切割的需求带动了细钨丝产量的迅猛增长。近5年主要产品产量见图 2。</w:t>
      </w:r>
    </w:p>
    <w:p w:rsidR="00E22F4C" w:rsidRDefault="00381575">
      <w:pPr>
        <w:ind w:firstLine="360"/>
      </w:pPr>
      <w:r>
        <w:rPr>
          <w:noProof/>
        </w:rPr>
        <w:drawing>
          <wp:inline distT="0" distB="0" distL="0" distR="0">
            <wp:extent cx="5276850" cy="28670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11"/>
                    <a:srcRect/>
                    <a:stretch>
                      <a:fillRect/>
                    </a:stretch>
                  </pic:blipFill>
                  <pic:spPr bwMode="auto">
                    <a:xfrm>
                      <a:off x="0" y="0"/>
                      <a:ext cx="5276850" cy="2867025"/>
                    </a:xfrm>
                    <a:prstGeom prst="rect">
                      <a:avLst/>
                    </a:prstGeom>
                  </pic:spPr>
                </pic:pic>
              </a:graphicData>
            </a:graphic>
          </wp:inline>
        </w:drawing>
      </w:r>
    </w:p>
    <w:p w:rsidR="00E22F4C" w:rsidRDefault="00381575">
      <w:pPr>
        <w:ind w:firstLine="360"/>
      </w:pPr>
      <w:r>
        <w:rPr>
          <w:rFonts w:ascii="宋体" w:hAnsi="宋体"/>
          <w:sz w:val="18"/>
        </w:rPr>
        <w:t>2、产业结构</w:t>
      </w:r>
    </w:p>
    <w:p w:rsidR="00E22F4C" w:rsidRDefault="00381575">
      <w:pPr>
        <w:ind w:firstLine="360"/>
      </w:pPr>
      <w:r>
        <w:rPr>
          <w:rFonts w:ascii="宋体" w:hAnsi="宋体"/>
          <w:color w:val="000000"/>
          <w:sz w:val="18"/>
        </w:rPr>
        <w:t xml:space="preserve">（1）产品结构持续向深加工延伸。 </w:t>
      </w:r>
    </w:p>
    <w:p w:rsidR="00E22F4C" w:rsidRDefault="00381575">
      <w:pPr>
        <w:ind w:firstLine="360"/>
      </w:pPr>
      <w:r>
        <w:rPr>
          <w:rFonts w:ascii="宋体" w:hAnsi="宋体"/>
          <w:color w:val="000000"/>
          <w:sz w:val="18"/>
        </w:rPr>
        <w:t>产品结构调整、产业转型升级持续推进，高端产品产量上升。硬质合金产能保持增长态势，尤其是棒材和高端硬质合金数控刀片投资持续增长。</w:t>
      </w:r>
    </w:p>
    <w:p w:rsidR="00E22F4C" w:rsidRDefault="00381575">
      <w:pPr>
        <w:ind w:firstLine="360"/>
      </w:pPr>
      <w:r>
        <w:rPr>
          <w:rFonts w:ascii="宋体" w:hAnsi="宋体"/>
          <w:color w:val="000000"/>
          <w:sz w:val="18"/>
        </w:rPr>
        <w:t>（2）</w:t>
      </w:r>
      <w:r>
        <w:rPr>
          <w:rFonts w:ascii="宋体" w:hAnsi="宋体"/>
          <w:sz w:val="20"/>
        </w:rPr>
        <w:t>产业格局总体保持稳定。</w:t>
      </w:r>
    </w:p>
    <w:p w:rsidR="00E22F4C" w:rsidRDefault="00381575">
      <w:pPr>
        <w:ind w:firstLine="360"/>
      </w:pPr>
      <w:r>
        <w:rPr>
          <w:rFonts w:ascii="宋体" w:hAnsi="宋体"/>
          <w:color w:val="000000"/>
          <w:sz w:val="18"/>
        </w:rPr>
        <w:t>中国钨精矿主产区在江西、湖南和河南三省区，2022年合计产量11.07万吨，占总 产量的 86.97%，同比增加1.50个百分点。APT 产地主要分布在江西、湖南和福建，2022 年三省产量合计 8.91万吨，占全国的78.16%，较上年度增加 0.52个百分点，其中江西 产量占全国的50.44%，较上年度增长2.04个百分点。硬质合金产地主要分布在湖南、 福建、江西和四川，2022年四省总产量3.52万吨，占全国产量的69.66%，与上年度基 本持平，其中湖南产量占全国的31.91%，排第一位，福建产量下降，从第二名下降到第 四名。2022 年钨精矿、APT、硬质合金各主产区产量比例见图 4、5、6。</w:t>
      </w:r>
    </w:p>
    <w:p w:rsidR="00E22F4C" w:rsidRDefault="00381575">
      <w:pPr>
        <w:ind w:firstLine="360"/>
      </w:pPr>
      <w:r>
        <w:rPr>
          <w:noProof/>
        </w:rPr>
        <w:lastRenderedPageBreak/>
        <w:drawing>
          <wp:inline distT="0" distB="0" distL="0" distR="0">
            <wp:extent cx="5276850" cy="4914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2"/>
                    <a:srcRect/>
                    <a:stretch>
                      <a:fillRect/>
                    </a:stretch>
                  </pic:blipFill>
                  <pic:spPr bwMode="auto">
                    <a:xfrm>
                      <a:off x="0" y="0"/>
                      <a:ext cx="5276850" cy="4914900"/>
                    </a:xfrm>
                    <a:prstGeom prst="rect">
                      <a:avLst/>
                    </a:prstGeom>
                  </pic:spPr>
                </pic:pic>
              </a:graphicData>
            </a:graphic>
          </wp:inline>
        </w:drawing>
      </w:r>
    </w:p>
    <w:p w:rsidR="00E22F4C" w:rsidRDefault="00381575">
      <w:pPr>
        <w:ind w:firstLine="360"/>
      </w:pPr>
      <w:r>
        <w:rPr>
          <w:noProof/>
        </w:rPr>
        <w:drawing>
          <wp:inline distT="0" distB="0" distL="0" distR="0">
            <wp:extent cx="5276850" cy="2857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13"/>
                    <a:srcRect/>
                    <a:stretch>
                      <a:fillRect/>
                    </a:stretch>
                  </pic:blipFill>
                  <pic:spPr bwMode="auto">
                    <a:xfrm>
                      <a:off x="0" y="0"/>
                      <a:ext cx="5276850" cy="2857500"/>
                    </a:xfrm>
                    <a:prstGeom prst="rect">
                      <a:avLst/>
                    </a:prstGeom>
                  </pic:spPr>
                </pic:pic>
              </a:graphicData>
            </a:graphic>
          </wp:inline>
        </w:drawing>
      </w:r>
    </w:p>
    <w:p w:rsidR="00E22F4C" w:rsidRDefault="00381575">
      <w:pPr>
        <w:ind w:firstLine="360"/>
      </w:pPr>
      <w:r>
        <w:rPr>
          <w:rFonts w:ascii="宋体" w:hAnsi="宋体"/>
          <w:color w:val="000000"/>
          <w:sz w:val="18"/>
        </w:rPr>
        <w:t>3、市场价格</w:t>
      </w:r>
    </w:p>
    <w:p w:rsidR="00E22F4C" w:rsidRDefault="00381575">
      <w:pPr>
        <w:ind w:firstLine="360"/>
      </w:pPr>
      <w:r>
        <w:rPr>
          <w:rFonts w:ascii="宋体" w:hAnsi="宋体"/>
          <w:color w:val="000000"/>
          <w:sz w:val="18"/>
        </w:rPr>
        <w:t>2022年，由于俄乌冲突导致全球性的能源价格大幅上涨，引发钨工业原辅材料价格上涨，以及市场对供应链的担忧，加之钨市场库存处于相对低位，全年钨市场总体保持相对高位运行。</w:t>
      </w:r>
    </w:p>
    <w:p w:rsidR="00E22F4C" w:rsidRDefault="00381575">
      <w:pPr>
        <w:ind w:firstLine="360"/>
      </w:pPr>
      <w:r>
        <w:rPr>
          <w:rFonts w:ascii="宋体" w:hAnsi="宋体"/>
          <w:color w:val="000000"/>
          <w:sz w:val="18"/>
        </w:rPr>
        <w:t>2022年，钨精矿价格在10.68～11.93万元/吨区间运行，年度波动幅度 10.48%。钨精矿年均价11.27万元/吨，同</w:t>
      </w:r>
      <w:r>
        <w:rPr>
          <w:rFonts w:ascii="宋体" w:hAnsi="宋体"/>
          <w:color w:val="000000"/>
          <w:sz w:val="18"/>
        </w:rPr>
        <w:lastRenderedPageBreak/>
        <w:t>比上涨12.13%，APT年均价17.37万元/吨，同比上涨12.91%见图 7、8、9。</w:t>
      </w:r>
    </w:p>
    <w:p w:rsidR="00E22F4C" w:rsidRDefault="00381575">
      <w:r>
        <w:rPr>
          <w:noProof/>
        </w:rPr>
        <w:drawing>
          <wp:inline distT="0" distB="0" distL="0" distR="0">
            <wp:extent cx="5267325" cy="2895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4"/>
                    <a:srcRect/>
                    <a:stretch>
                      <a:fillRect/>
                    </a:stretch>
                  </pic:blipFill>
                  <pic:spPr bwMode="auto">
                    <a:xfrm>
                      <a:off x="0" y="0"/>
                      <a:ext cx="5267325" cy="2895600"/>
                    </a:xfrm>
                    <a:prstGeom prst="rect">
                      <a:avLst/>
                    </a:prstGeom>
                  </pic:spPr>
                </pic:pic>
              </a:graphicData>
            </a:graphic>
          </wp:inline>
        </w:drawing>
      </w:r>
    </w:p>
    <w:p w:rsidR="00E22F4C" w:rsidRDefault="00381575">
      <w:r>
        <w:rPr>
          <w:noProof/>
        </w:rPr>
        <w:drawing>
          <wp:inline distT="0" distB="0" distL="0" distR="0">
            <wp:extent cx="5153025" cy="4610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noChangeArrowheads="1"/>
                    </pic:cNvPicPr>
                  </pic:nvPicPr>
                  <pic:blipFill>
                    <a:blip r:embed="rId15"/>
                    <a:srcRect/>
                    <a:stretch>
                      <a:fillRect/>
                    </a:stretch>
                  </pic:blipFill>
                  <pic:spPr bwMode="auto">
                    <a:xfrm>
                      <a:off x="0" y="0"/>
                      <a:ext cx="5153025" cy="4610100"/>
                    </a:xfrm>
                    <a:prstGeom prst="rect">
                      <a:avLst/>
                    </a:prstGeom>
                  </pic:spPr>
                </pic:pic>
              </a:graphicData>
            </a:graphic>
          </wp:inline>
        </w:drawing>
      </w:r>
    </w:p>
    <w:p w:rsidR="00E22F4C" w:rsidRDefault="00381575">
      <w:r>
        <w:rPr>
          <w:rFonts w:ascii="宋体" w:hAnsi="宋体"/>
          <w:color w:val="000000"/>
          <w:sz w:val="18"/>
        </w:rPr>
        <w:t>（三）、2022年中国钨工业经济状况分析</w:t>
      </w:r>
    </w:p>
    <w:p w:rsidR="00E22F4C" w:rsidRDefault="00381575">
      <w:pPr>
        <w:ind w:firstLine="360"/>
      </w:pPr>
      <w:r>
        <w:rPr>
          <w:rFonts w:ascii="宋体" w:hAnsi="宋体"/>
          <w:color w:val="000000"/>
          <w:sz w:val="18"/>
        </w:rPr>
        <w:t>1、产业政策保障行业平稳运行</w:t>
      </w:r>
    </w:p>
    <w:p w:rsidR="00E22F4C" w:rsidRDefault="00381575">
      <w:pPr>
        <w:ind w:firstLine="360"/>
      </w:pPr>
      <w:r>
        <w:rPr>
          <w:rFonts w:ascii="宋体" w:hAnsi="宋体"/>
          <w:color w:val="000000"/>
          <w:sz w:val="18"/>
        </w:rPr>
        <w:t>我国钨矿开采继续实行总量控制，2022 年全国钨精矿开采总量控制指标为109,000 吨，较上年度增长0.93%。继续实施《产业结构调整指导目录》、《市场准入负面清单》、钨品出口国营贸易管理政策；商务部发布了《外商投资准入特别</w:t>
      </w:r>
      <w:r>
        <w:rPr>
          <w:rFonts w:ascii="宋体" w:hAnsi="宋体"/>
          <w:color w:val="000000"/>
          <w:sz w:val="18"/>
        </w:rPr>
        <w:lastRenderedPageBreak/>
        <w:t>管理措施（负面清单）》和《自由贸易试验区外商投资准入特别管理措施（负面清单）》。外商不得从事勘查、开采矿产资源及转让探矿权、采矿权审批。</w:t>
      </w:r>
    </w:p>
    <w:p w:rsidR="00E22F4C" w:rsidRDefault="00381575">
      <w:pPr>
        <w:ind w:firstLine="360"/>
      </w:pPr>
      <w:r>
        <w:rPr>
          <w:rFonts w:ascii="宋体" w:hAnsi="宋体"/>
          <w:color w:val="000000"/>
          <w:sz w:val="18"/>
        </w:rPr>
        <w:t>新发布的行业管理政策文件有：①自然资源部、生态环境部、国家林业和草原局下发《关于加强生态保护红线管理的通知（试行）》（自然资发〔2022〕142 号）；②生态环境部发布《尾矿污染环境防治管理办法》；③发展改革委、商务部发布《鼓励外商投资产业目录（2022 年版）》；④工业和信息化部、国家发展和改革委员会、生态环境部发布《有色金属行业碳达峰实施方案》（工信部联原〔2022〕153 号）；⑤国家矿山安全监察局印发《关于加强非煤矿山安全生产工作的指导意见》（矿安〔2022〕4 号）；⑥工业和信息化部办公厅、国务院国有资产监督管理委员会办公厅、国家市场监督管理总局办公厅、国家知识产权局办公室四部门联合发布《关于印发原材料工业“三品”实施方案的通知》（工信厅联原〔2022〕24 号）。上述产业政策，对钨行业有重要的指导意义，有力保障了钨行业平稳运行。</w:t>
      </w:r>
    </w:p>
    <w:p w:rsidR="00E22F4C" w:rsidRDefault="00381575">
      <w:pPr>
        <w:ind w:firstLine="360"/>
      </w:pPr>
      <w:r>
        <w:rPr>
          <w:rFonts w:ascii="宋体" w:hAnsi="宋体"/>
          <w:color w:val="000000"/>
          <w:sz w:val="18"/>
        </w:rPr>
        <w:t>2、产业结构持续优化</w:t>
      </w:r>
    </w:p>
    <w:p w:rsidR="00E22F4C" w:rsidRDefault="00381575">
      <w:pPr>
        <w:ind w:firstLine="360"/>
      </w:pPr>
      <w:r>
        <w:rPr>
          <w:rFonts w:ascii="宋体" w:hAnsi="宋体"/>
          <w:color w:val="000000"/>
          <w:sz w:val="18"/>
        </w:rPr>
        <w:t>工艺装备水平逐步提升到国际水平，高端产品生产和高端装备制造逐步向国产化迈进，高端产品市场占有率逐步提高。2022年数控刀片产量突破4.8亿片，企业技改扩能、新项目投资增速较快。产品结构得到持续改善，硬质合金等深加工产品比例增大，深加工产品出口量比例逐步提高。</w:t>
      </w:r>
    </w:p>
    <w:p w:rsidR="00E22F4C" w:rsidRDefault="00381575">
      <w:pPr>
        <w:ind w:firstLine="360"/>
      </w:pPr>
      <w:r>
        <w:rPr>
          <w:rFonts w:ascii="宋体" w:hAnsi="宋体"/>
          <w:color w:val="000000"/>
          <w:sz w:val="18"/>
        </w:rPr>
        <w:t>光伏钨丝投资项目逐步投产，对钨消费有一定程度上的带动。</w:t>
      </w:r>
    </w:p>
    <w:p w:rsidR="00E22F4C" w:rsidRDefault="00381575">
      <w:pPr>
        <w:ind w:firstLine="360"/>
      </w:pPr>
      <w:r>
        <w:rPr>
          <w:rFonts w:ascii="宋体" w:hAnsi="宋体"/>
          <w:color w:val="000000"/>
          <w:sz w:val="18"/>
        </w:rPr>
        <w:t>3、供需保持相对偏紧的弱平衡</w:t>
      </w:r>
    </w:p>
    <w:p w:rsidR="00E22F4C" w:rsidRDefault="00381575">
      <w:pPr>
        <w:ind w:firstLine="360"/>
      </w:pPr>
      <w:r>
        <w:rPr>
          <w:rFonts w:ascii="宋体" w:hAnsi="宋体"/>
          <w:color w:val="000000"/>
          <w:sz w:val="18"/>
        </w:rPr>
        <w:t>2022年受国际地缘政治冲突，钨工业生产和消费都受到不同程度影响钨消费增长收到抑制，消费量与上年持平。近5年中国钨消费量走势见图14。</w:t>
      </w:r>
    </w:p>
    <w:p w:rsidR="00E22F4C" w:rsidRDefault="00381575">
      <w:r>
        <w:rPr>
          <w:noProof/>
        </w:rPr>
        <w:drawing>
          <wp:inline distT="0" distB="0" distL="0" distR="0">
            <wp:extent cx="5267325" cy="28765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16"/>
                    <a:srcRect/>
                    <a:stretch>
                      <a:fillRect/>
                    </a:stretch>
                  </pic:blipFill>
                  <pic:spPr bwMode="auto">
                    <a:xfrm>
                      <a:off x="0" y="0"/>
                      <a:ext cx="5267325" cy="2876550"/>
                    </a:xfrm>
                    <a:prstGeom prst="rect">
                      <a:avLst/>
                    </a:prstGeom>
                  </pic:spPr>
                </pic:pic>
              </a:graphicData>
            </a:graphic>
          </wp:inline>
        </w:drawing>
      </w:r>
    </w:p>
    <w:p w:rsidR="00E22F4C" w:rsidRDefault="00381575">
      <w:pPr>
        <w:ind w:firstLine="360"/>
      </w:pPr>
      <w:r>
        <w:rPr>
          <w:rFonts w:ascii="宋体" w:hAnsi="宋体"/>
          <w:color w:val="000000"/>
          <w:sz w:val="18"/>
        </w:rPr>
        <w:t>从供应看，全球钨精矿供应预期逐步增长。哈萨克斯坦巴库塔钨矿有望成为新的供应增长点，其他新建项目进展缓慢。中国新建钨矿项目短期内不能投产，老旧矿山品位下降等因素导致产量呈递减趋势，技改扩容的新增产量将逐步达产，弥补部分供应减少影响。从需求看，产业转型升级持续推进，新能源、新基建势头良好，钨需求呈持续增长态势。</w:t>
      </w:r>
    </w:p>
    <w:p w:rsidR="00E22F4C" w:rsidRDefault="00381575">
      <w:pPr>
        <w:ind w:firstLine="360"/>
      </w:pPr>
      <w:r>
        <w:rPr>
          <w:rFonts w:ascii="宋体" w:hAnsi="宋体"/>
          <w:color w:val="000000"/>
          <w:sz w:val="18"/>
        </w:rPr>
        <w:t>预计2023年度钨市场供需呈紧平衡状态，加之原料成本刚性增长支撑，预计市场维持相对高位运行态势。中国钨产业布局逐步优化，钨产业链和区域协同发展逐步推进，国际竞争新优势持续提升，对外提供产业配套服务能力逐步加强。</w:t>
      </w:r>
    </w:p>
    <w:p w:rsidR="00E22F4C" w:rsidRDefault="00381575">
      <w:pPr>
        <w:pStyle w:val="2"/>
        <w:spacing w:before="300" w:after="300" w:line="320" w:lineRule="exact"/>
        <w:rPr>
          <w:rFonts w:ascii="宋体" w:eastAsia="宋体" w:hAnsi="宋体" w:cs="宋体"/>
          <w:b/>
          <w:bCs/>
          <w:sz w:val="24"/>
          <w:szCs w:val="24"/>
        </w:rPr>
      </w:pPr>
      <w:bookmarkStart w:id="15" w:name="_Toc988904"/>
      <w:r>
        <w:rPr>
          <w:rFonts w:ascii="宋体" w:eastAsia="宋体" w:hAnsi="宋体" w:cs="宋体"/>
          <w:b/>
          <w:bCs/>
          <w:sz w:val="24"/>
          <w:szCs w:val="24"/>
        </w:rPr>
        <w:t>二、报告期内公司从事的主要业务</w:t>
      </w:r>
      <w:bookmarkEnd w:id="15"/>
    </w:p>
    <w:p w:rsidR="00E22F4C" w:rsidRDefault="00381575">
      <w:pPr>
        <w:jc w:val="both"/>
      </w:pPr>
      <w:r>
        <w:rPr>
          <w:rFonts w:ascii="Calibri" w:hAnsi="Calibri"/>
          <w:sz w:val="20"/>
        </w:rPr>
        <w:t>1</w:t>
      </w:r>
      <w:r>
        <w:rPr>
          <w:rFonts w:ascii="宋体" w:hAnsi="宋体"/>
          <w:sz w:val="20"/>
        </w:rPr>
        <w:t>、主要业务</w:t>
      </w:r>
    </w:p>
    <w:p w:rsidR="00E22F4C" w:rsidRDefault="00381575">
      <w:pPr>
        <w:ind w:firstLine="360"/>
        <w:jc w:val="both"/>
      </w:pPr>
      <w:r>
        <w:rPr>
          <w:rFonts w:ascii="Calibri" w:hAnsi="Calibri"/>
          <w:sz w:val="18"/>
        </w:rPr>
        <w:t>2022</w:t>
      </w:r>
      <w:r>
        <w:rPr>
          <w:rFonts w:ascii="宋体" w:hAnsi="宋体"/>
          <w:sz w:val="18"/>
        </w:rPr>
        <w:t>年，随着“俄乌”战争的持续，全球经济增长仍处于疲软态势，需求端预期减弱，后端采购及消费意愿不积极，按需采购的现象呈现常态化。而钨原材料端在环保、安全生产及全球能源紧张压力下，价格一直坚挺运行，报告期内钨精矿、</w:t>
      </w:r>
      <w:r>
        <w:rPr>
          <w:rFonts w:ascii="Calibri" w:hAnsi="Calibri"/>
          <w:sz w:val="18"/>
        </w:rPr>
        <w:t>APT</w:t>
      </w:r>
      <w:r>
        <w:rPr>
          <w:rFonts w:ascii="宋体" w:hAnsi="宋体"/>
          <w:sz w:val="18"/>
        </w:rPr>
        <w:t>均价较去年上涨</w:t>
      </w:r>
      <w:r>
        <w:rPr>
          <w:rFonts w:ascii="Calibri" w:hAnsi="Calibri"/>
          <w:sz w:val="18"/>
        </w:rPr>
        <w:t>12%</w:t>
      </w:r>
      <w:r>
        <w:rPr>
          <w:rFonts w:ascii="宋体" w:hAnsi="宋体"/>
          <w:sz w:val="18"/>
        </w:rPr>
        <w:t>左右，后端粉末产品存在着“倒挂”现象，尤其在第四季度，随着国内外经济形势有明</w:t>
      </w:r>
      <w:r>
        <w:rPr>
          <w:rFonts w:ascii="宋体" w:hAnsi="宋体"/>
          <w:sz w:val="18"/>
        </w:rPr>
        <w:lastRenderedPageBreak/>
        <w:t>显缓和趋势，钨精矿、</w:t>
      </w:r>
      <w:r>
        <w:rPr>
          <w:rFonts w:ascii="Calibri" w:hAnsi="Calibri"/>
          <w:sz w:val="18"/>
        </w:rPr>
        <w:t>APT</w:t>
      </w:r>
      <w:r>
        <w:rPr>
          <w:rFonts w:ascii="宋体" w:hAnsi="宋体"/>
          <w:sz w:val="18"/>
        </w:rPr>
        <w:t>等原材料价格快速反弹，后端产品销售严重滞后，“倒挂”现象尤为突出。</w:t>
      </w:r>
    </w:p>
    <w:p w:rsidR="00E22F4C" w:rsidRDefault="00381575">
      <w:pPr>
        <w:ind w:firstLine="360"/>
        <w:jc w:val="both"/>
      </w:pPr>
      <w:r>
        <w:rPr>
          <w:rFonts w:ascii="宋体" w:hAnsi="宋体"/>
          <w:sz w:val="18"/>
        </w:rPr>
        <w:t>报告期内，公司主要业务未发生重大变化。公司实现营业收入</w:t>
      </w:r>
      <w:r>
        <w:rPr>
          <w:rFonts w:ascii="Calibri" w:hAnsi="Calibri"/>
          <w:sz w:val="18"/>
        </w:rPr>
        <w:t>167,355.32</w:t>
      </w:r>
      <w:r>
        <w:rPr>
          <w:rFonts w:ascii="宋体" w:hAnsi="宋体"/>
          <w:sz w:val="18"/>
        </w:rPr>
        <w:t>万元，比上年同期增长</w:t>
      </w:r>
      <w:r>
        <w:rPr>
          <w:rFonts w:ascii="Calibri" w:hAnsi="Calibri"/>
          <w:sz w:val="18"/>
        </w:rPr>
        <w:t>9.78%</w:t>
      </w:r>
      <w:r>
        <w:rPr>
          <w:rFonts w:ascii="宋体" w:hAnsi="宋体"/>
          <w:sz w:val="18"/>
        </w:rPr>
        <w:t>；归属于上市公司股东的净利润</w:t>
      </w:r>
      <w:r>
        <w:rPr>
          <w:rFonts w:ascii="Calibri" w:hAnsi="Calibri"/>
          <w:sz w:val="18"/>
        </w:rPr>
        <w:t>-4,126.25</w:t>
      </w:r>
      <w:r>
        <w:rPr>
          <w:rFonts w:ascii="宋体" w:hAnsi="宋体"/>
          <w:sz w:val="18"/>
        </w:rPr>
        <w:t>万元，比上年同期减少</w:t>
      </w:r>
      <w:r>
        <w:rPr>
          <w:rFonts w:ascii="Calibri" w:hAnsi="Calibri"/>
          <w:sz w:val="18"/>
        </w:rPr>
        <w:t>266.72%</w:t>
      </w:r>
      <w:r>
        <w:rPr>
          <w:rFonts w:ascii="宋体" w:hAnsi="宋体"/>
          <w:sz w:val="18"/>
        </w:rPr>
        <w:t>；扣除非经常性损益后归属于上市公司股东的净利润</w:t>
      </w:r>
      <w:r>
        <w:rPr>
          <w:rFonts w:ascii="Calibri" w:hAnsi="Calibri"/>
          <w:sz w:val="18"/>
        </w:rPr>
        <w:t>-5,136.53</w:t>
      </w:r>
      <w:r>
        <w:rPr>
          <w:rFonts w:ascii="宋体" w:hAnsi="宋体"/>
          <w:sz w:val="18"/>
        </w:rPr>
        <w:t>万元，比上年同期减少</w:t>
      </w:r>
      <w:r>
        <w:rPr>
          <w:rFonts w:ascii="Calibri" w:hAnsi="Calibri"/>
          <w:sz w:val="18"/>
        </w:rPr>
        <w:t>401.58%</w:t>
      </w:r>
      <w:r>
        <w:rPr>
          <w:rFonts w:ascii="宋体" w:hAnsi="宋体"/>
          <w:sz w:val="18"/>
        </w:rPr>
        <w:t>。主营产品碳化钨粉、硬质合金收入分别增长</w:t>
      </w:r>
      <w:r>
        <w:rPr>
          <w:rFonts w:ascii="Calibri" w:hAnsi="Calibri"/>
          <w:sz w:val="18"/>
        </w:rPr>
        <w:t>1.88%</w:t>
      </w:r>
      <w:r>
        <w:rPr>
          <w:rFonts w:ascii="宋体" w:hAnsi="宋体"/>
          <w:sz w:val="18"/>
        </w:rPr>
        <w:t>，</w:t>
      </w:r>
      <w:r>
        <w:rPr>
          <w:rFonts w:ascii="Calibri" w:hAnsi="Calibri"/>
          <w:sz w:val="18"/>
        </w:rPr>
        <w:t>13.81%</w:t>
      </w:r>
      <w:r>
        <w:rPr>
          <w:rFonts w:ascii="宋体" w:hAnsi="宋体"/>
          <w:sz w:val="18"/>
        </w:rPr>
        <w:t>，剔除价格上涨，碳化钨粉及硬质合金销量分别下滑-12.31%和-1.95%。利润总额减少主要系</w:t>
      </w:r>
      <w:r>
        <w:rPr>
          <w:rFonts w:ascii="Calibri" w:hAnsi="Calibri"/>
          <w:sz w:val="18"/>
        </w:rPr>
        <w:t>1</w:t>
      </w:r>
      <w:r>
        <w:rPr>
          <w:rFonts w:ascii="宋体" w:hAnsi="宋体"/>
          <w:sz w:val="18"/>
        </w:rPr>
        <w:t>、钨精矿、化工、燃料等原材料价格及货运成本上涨，而后端产品价格上涨滞后，导致整体毛利率同比下降；</w:t>
      </w:r>
      <w:r>
        <w:rPr>
          <w:rFonts w:ascii="Calibri" w:hAnsi="Calibri"/>
          <w:sz w:val="18"/>
        </w:rPr>
        <w:t>2</w:t>
      </w:r>
      <w:r>
        <w:rPr>
          <w:rFonts w:ascii="宋体" w:hAnsi="宋体"/>
          <w:sz w:val="18"/>
        </w:rPr>
        <w:t>、公司控股子公司江西翔鹭钨业有限公司盈利情况不及预期，公司对相关商誉计提了减值准备</w:t>
      </w:r>
      <w:r>
        <w:rPr>
          <w:rFonts w:ascii="Calibri" w:hAnsi="Calibri"/>
          <w:sz w:val="18"/>
        </w:rPr>
        <w:t>1,808.82</w:t>
      </w:r>
      <w:r>
        <w:rPr>
          <w:rFonts w:ascii="宋体" w:hAnsi="宋体"/>
          <w:sz w:val="18"/>
        </w:rPr>
        <w:t>万元；</w:t>
      </w:r>
      <w:r>
        <w:rPr>
          <w:rFonts w:ascii="Calibri" w:hAnsi="Calibri"/>
          <w:sz w:val="18"/>
        </w:rPr>
        <w:t>3</w:t>
      </w:r>
      <w:r>
        <w:rPr>
          <w:rFonts w:ascii="宋体" w:hAnsi="宋体"/>
          <w:sz w:val="18"/>
        </w:rPr>
        <w:t>、报告期内股权激励、折旧等管理费用及可转债费用化利息等期间费用增加；</w:t>
      </w:r>
      <w:r>
        <w:rPr>
          <w:rFonts w:ascii="Calibri" w:hAnsi="Calibri"/>
          <w:sz w:val="18"/>
        </w:rPr>
        <w:t>4</w:t>
      </w:r>
      <w:r>
        <w:rPr>
          <w:rFonts w:ascii="宋体" w:hAnsi="宋体"/>
          <w:sz w:val="18"/>
        </w:rPr>
        <w:t>、报告期内因市场需求疲软导致产能利用率不足、停工损失、搬迁等原因导致子公司出现亏损。</w:t>
      </w:r>
    </w:p>
    <w:p w:rsidR="00E22F4C" w:rsidRDefault="00381575">
      <w:pPr>
        <w:ind w:firstLine="360"/>
        <w:jc w:val="both"/>
      </w:pPr>
      <w:r>
        <w:rPr>
          <w:rFonts w:ascii="宋体" w:hAnsi="宋体"/>
          <w:sz w:val="18"/>
        </w:rPr>
        <w:t>报告期内，各区域具体生产经营如下：</w:t>
      </w:r>
    </w:p>
    <w:p w:rsidR="00E22F4C" w:rsidRDefault="00381575">
      <w:pPr>
        <w:ind w:firstLine="360"/>
        <w:jc w:val="both"/>
      </w:pPr>
      <w:r>
        <w:rPr>
          <w:rFonts w:ascii="宋体" w:hAnsi="宋体"/>
          <w:sz w:val="18"/>
        </w:rPr>
        <w:t>潮州区域通过不断的优化和更新设备，钨粉、碳化钨粉生产方面，采用智能化控制模式，降低人力成本，提升设备自动化运行程度，提高产品质量，降低成本。</w:t>
      </w:r>
      <w:r>
        <w:rPr>
          <w:rFonts w:ascii="Calibri" w:hAnsi="Calibri"/>
          <w:sz w:val="18"/>
        </w:rPr>
        <w:t>APT</w:t>
      </w:r>
      <w:r>
        <w:rPr>
          <w:rFonts w:ascii="宋体" w:hAnsi="宋体"/>
          <w:sz w:val="18"/>
        </w:rPr>
        <w:t>生产方面，化工辅料及能源价格持续上涨，公司为降低生产成本及减少化工及能源的使用，加大了钨回收料的使用力度，全年钨回收料在投矿占比稳步提升。硬质合金生产方面持续加大不同牌号的研发，今年客诉率有明显降低，产品口碑提升。优化烧结工艺，提高生产效率，降低能耗，降低产品氧化的风险，实现节能降耗、高质量的生产能力。总体来看，潮州区域生产相对正常，但受需求低迷的影响，该区域产能未能充分发挥，产能利用率较去年有所下降。</w:t>
      </w:r>
    </w:p>
    <w:p w:rsidR="00E22F4C" w:rsidRDefault="00381575">
      <w:pPr>
        <w:ind w:firstLine="360"/>
        <w:jc w:val="both"/>
      </w:pPr>
      <w:r>
        <w:rPr>
          <w:rFonts w:ascii="宋体" w:hAnsi="宋体"/>
          <w:sz w:val="18"/>
        </w:rPr>
        <w:t>公司在专注钨行业生产的同时，还加强了研发投入，设立博士工作站，通过依托公司已有的省、市级工程中心和省级企业技术中心的创新平台，结合科研院所和高校的研发人才优势和研发优势，规划落实科研创新、产学研、技术培训交流等创新工作，努力打造技术实力雄厚、具有行业影响力的专业性创新团队。</w:t>
      </w:r>
      <w:r>
        <w:rPr>
          <w:rFonts w:ascii="Calibri" w:hAnsi="Calibri"/>
          <w:sz w:val="18"/>
        </w:rPr>
        <w:t xml:space="preserve"> </w:t>
      </w:r>
      <w:r>
        <w:rPr>
          <w:rFonts w:ascii="宋体" w:hAnsi="宋体"/>
          <w:sz w:val="18"/>
        </w:rPr>
        <w:t>目前武汉理工大学材料复合新技术国家重点实验室的两位教授和河南工业大学等多位材料专业的博士已受聘进站开展工作，共同开展技术创新工作，围绕钨行业发展应用新动向，针对公司发展中的关键性、基础性和共性技术问题进行系统研究开发，提高公司技术创新的综合实力；实施科研创新课题、成果转化和产业化，努力突破在技术创新过程出现的瓶颈，强化科技成果向生产转化环节落实，缩短成果转化周期，提升现有科技成果的成熟性、综合性和产业化水平，开发具市场竞争优势的高附加值创新产品，助力公司的持续发展。针对近年来新的钨制品市场应用端变化，管理层亦积极开拓，主动求变，在光伏细钨丝方向进行研发拓展，目前该研发项目顺利推进，已基本达到既定研发光伏用细钨丝的质量要求，未来公司会加快后续事宜，力争尽早推进产业化进程，为公司提供新的利润增长点。</w:t>
      </w:r>
    </w:p>
    <w:p w:rsidR="00E22F4C" w:rsidRDefault="00381575">
      <w:pPr>
        <w:ind w:firstLine="360"/>
        <w:jc w:val="both"/>
      </w:pPr>
      <w:r>
        <w:rPr>
          <w:rFonts w:ascii="宋体" w:hAnsi="宋体"/>
          <w:sz w:val="18"/>
        </w:rPr>
        <w:t>江西区域夯实基础，加强操作技能的培训、严抓制度和工艺的执行，管理有长足进步，产品质量也得到了客户广泛的认可，但由于报告期内国内外经济处于低位运行，需求端萎缩，导致江西区域的产能利用率较低，粉末及硬质合金生产均未达到集团公司规划的产量目标，部分孙公司在报告期内出现了间歇式停工停产状态，报告期内江西翔鹭盈利不及预期，对相关商誉计提了减值准备1808.82万元。矿山开采方面，全资子公司大余隆鑫泰矿业有限公司完成了采矿证的延续工作，公司会把握江西区域的资源和政策优势，加大、加快江西翔鹭矿山及</w:t>
      </w:r>
      <w:r>
        <w:rPr>
          <w:rFonts w:ascii="Calibri" w:hAnsi="Calibri"/>
          <w:sz w:val="18"/>
        </w:rPr>
        <w:t>9000</w:t>
      </w:r>
      <w:r>
        <w:rPr>
          <w:rFonts w:ascii="宋体" w:hAnsi="宋体"/>
          <w:sz w:val="18"/>
        </w:rPr>
        <w:t>吨</w:t>
      </w:r>
      <w:r>
        <w:rPr>
          <w:rFonts w:ascii="Calibri" w:hAnsi="Calibri"/>
          <w:sz w:val="18"/>
        </w:rPr>
        <w:t>APT</w:t>
      </w:r>
      <w:r>
        <w:rPr>
          <w:rFonts w:ascii="宋体" w:hAnsi="宋体"/>
          <w:sz w:val="18"/>
        </w:rPr>
        <w:t>项目的建设，努力打造国内先进的全产业链的钨制造基地，使其与潮州生产区域形成有效的联动互补，增强整个集团的盈利能力和竞争优势。</w:t>
      </w:r>
    </w:p>
    <w:p w:rsidR="00E22F4C" w:rsidRDefault="00381575">
      <w:pPr>
        <w:ind w:firstLine="360"/>
        <w:jc w:val="both"/>
      </w:pPr>
      <w:r>
        <w:rPr>
          <w:rFonts w:ascii="宋体" w:hAnsi="宋体"/>
          <w:sz w:val="18"/>
        </w:rPr>
        <w:t>精密工具报告期内收入实现小幅增长，报告期内仍亏损</w:t>
      </w:r>
      <w:r>
        <w:rPr>
          <w:rFonts w:ascii="Calibri" w:hAnsi="Calibri"/>
          <w:sz w:val="18"/>
        </w:rPr>
        <w:t>1,996.65</w:t>
      </w:r>
      <w:r>
        <w:rPr>
          <w:rFonts w:ascii="宋体" w:hAnsi="宋体"/>
          <w:sz w:val="18"/>
        </w:rPr>
        <w:t>万。公司于下半年积极调整精密工具发展方向，由原来专供</w:t>
      </w:r>
      <w:r>
        <w:rPr>
          <w:rFonts w:ascii="Calibri" w:hAnsi="Calibri"/>
          <w:sz w:val="18"/>
        </w:rPr>
        <w:t>3C</w:t>
      </w:r>
      <w:r>
        <w:rPr>
          <w:rFonts w:ascii="宋体" w:hAnsi="宋体"/>
          <w:sz w:val="18"/>
        </w:rPr>
        <w:t>刀具市场拓展至标刀市场，同时，于下半年将东莞精密的生产搬迁至江西大余，减少租金、电费及其他公共费用，降低亏损。后续，精密工具将扩大经销网络的布局，加强业务开拓，力争扭亏为盈。</w:t>
      </w:r>
    </w:p>
    <w:p w:rsidR="00E22F4C" w:rsidRDefault="00381575">
      <w:pPr>
        <w:ind w:firstLine="360"/>
        <w:jc w:val="both"/>
      </w:pPr>
      <w:r>
        <w:rPr>
          <w:rFonts w:ascii="宋体" w:hAnsi="宋体"/>
          <w:sz w:val="18"/>
        </w:rPr>
        <w:t>报告期内，公司扣除非经常性损益后归属于上市公司股东的净利润出现亏损，今年公司会积极把握市场机遇，以国家提出高质量发展、振兴制造业的理念为契机，利用公司的人才和技术优势，以设备智能化、生产过程自动化和管理信息化的深度融合为重点，加快碳化钨、硬质合金及精密工具生产线装备的更新改造，促进企业向高端制造升级，同时，完善营销网络，巩固和提高产品的市场份额，加大销售力度，积极走出去，拓展国内外市场，发展更多客户资源，努力确保公司现有产能充分利用，改善公司经营业绩。</w:t>
      </w:r>
    </w:p>
    <w:p w:rsidR="00E22F4C" w:rsidRDefault="00381575">
      <w:pPr>
        <w:spacing w:before="40" w:after="40"/>
        <w:jc w:val="both"/>
      </w:pPr>
      <w:r>
        <w:rPr>
          <w:rFonts w:ascii="Times New Roman" w:hAnsi="Times New Roman"/>
          <w:color w:val="000000"/>
          <w:sz w:val="18"/>
        </w:rPr>
        <w:t>2</w:t>
      </w:r>
      <w:r>
        <w:rPr>
          <w:rFonts w:ascii="宋体" w:hAnsi="宋体"/>
          <w:color w:val="000000"/>
          <w:sz w:val="18"/>
        </w:rPr>
        <w:t>、主要产品及其用途</w:t>
      </w:r>
    </w:p>
    <w:p w:rsidR="00E22F4C" w:rsidRDefault="00381575">
      <w:pPr>
        <w:ind w:firstLine="360"/>
        <w:jc w:val="both"/>
      </w:pPr>
      <w:r>
        <w:rPr>
          <w:rFonts w:ascii="宋体" w:hAnsi="宋体"/>
          <w:sz w:val="18"/>
        </w:rPr>
        <w:t>公司通过多年的发展，形成了从</w:t>
      </w:r>
      <w:r>
        <w:rPr>
          <w:rFonts w:ascii="Calibri" w:hAnsi="Calibri"/>
          <w:sz w:val="18"/>
        </w:rPr>
        <w:t>APT</w:t>
      </w:r>
      <w:r>
        <w:rPr>
          <w:rFonts w:ascii="宋体" w:hAnsi="宋体"/>
          <w:sz w:val="18"/>
        </w:rPr>
        <w:t>到硬质合金的产品体系。公司的主要产品为氧化钨（包括黄色氧化钨、蓝色氧化钨、紫色氧化钨等）、钨粉，碳化钨粉、钨合金粉及钨硬质合金等深加工产品。</w:t>
      </w:r>
    </w:p>
    <w:p w:rsidR="00E22F4C" w:rsidRDefault="00381575">
      <w:pPr>
        <w:ind w:firstLine="360"/>
        <w:jc w:val="both"/>
      </w:pPr>
      <w:r>
        <w:rPr>
          <w:rFonts w:ascii="Calibri" w:hAnsi="Calibri"/>
          <w:sz w:val="18"/>
        </w:rPr>
        <w:t> </w:t>
      </w:r>
    </w:p>
    <w:p w:rsidR="00E22F4C" w:rsidRDefault="00381575">
      <w:pPr>
        <w:ind w:firstLine="360"/>
        <w:jc w:val="both"/>
      </w:pPr>
      <w:r>
        <w:rPr>
          <w:rFonts w:ascii="Calibri" w:hAnsi="Calibri"/>
          <w:sz w:val="18"/>
        </w:rPr>
        <w:t>    </w:t>
      </w:r>
      <w:r>
        <w:rPr>
          <w:rFonts w:ascii="宋体" w:hAnsi="宋体"/>
          <w:sz w:val="18"/>
        </w:rPr>
        <w:t>公司产品结构在产业链中的位置如下图所示：</w:t>
      </w:r>
    </w:p>
    <w:p w:rsidR="00E22F4C" w:rsidRDefault="00381575">
      <w:pPr>
        <w:ind w:left="1170" w:hanging="1170"/>
        <w:jc w:val="both"/>
      </w:pPr>
      <w:r>
        <w:rPr>
          <w:noProof/>
        </w:rPr>
        <w:lastRenderedPageBreak/>
        <w:drawing>
          <wp:inline distT="0" distB="0" distL="0" distR="0">
            <wp:extent cx="5276850" cy="25908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7"/>
                    <a:srcRect/>
                    <a:stretch>
                      <a:fillRect/>
                    </a:stretch>
                  </pic:blipFill>
                  <pic:spPr bwMode="auto">
                    <a:xfrm>
                      <a:off x="0" y="0"/>
                      <a:ext cx="5276850" cy="2590800"/>
                    </a:xfrm>
                    <a:prstGeom prst="rect">
                      <a:avLst/>
                    </a:prstGeom>
                  </pic:spPr>
                </pic:pic>
              </a:graphicData>
            </a:graphic>
          </wp:inline>
        </w:drawing>
      </w:r>
    </w:p>
    <w:p w:rsidR="00E22F4C" w:rsidRDefault="00381575">
      <w:pPr>
        <w:ind w:left="1173" w:hanging="360"/>
        <w:jc w:val="both"/>
      </w:pPr>
      <w:r>
        <w:rPr>
          <w:rFonts w:ascii="宋体" w:hAnsi="宋体"/>
          <w:sz w:val="18"/>
        </w:rPr>
        <w:t>注：蓝色线框内为公司目前所生产的产品，其中碳化钨粉为公司主要收入来源。</w:t>
      </w:r>
      <w:r>
        <w:rPr>
          <w:rFonts w:ascii="Times New Roman" w:hAnsi="Times New Roman"/>
          <w:color w:val="000000"/>
          <w:sz w:val="18"/>
        </w:rPr>
        <w:t> </w:t>
      </w:r>
    </w:p>
    <w:p w:rsidR="00E22F4C" w:rsidRDefault="00381575">
      <w:pPr>
        <w:jc w:val="both"/>
      </w:pPr>
      <w:r>
        <w:rPr>
          <w:rFonts w:ascii="Times New Roman" w:hAnsi="Times New Roman"/>
          <w:color w:val="000000"/>
          <w:sz w:val="18"/>
        </w:rPr>
        <w:t> </w:t>
      </w:r>
    </w:p>
    <w:p w:rsidR="00E22F4C" w:rsidRDefault="00381575">
      <w:pPr>
        <w:spacing w:before="40" w:after="40"/>
        <w:jc w:val="both"/>
      </w:pPr>
      <w:r>
        <w:rPr>
          <w:rFonts w:ascii="Times New Roman" w:hAnsi="Times New Roman"/>
          <w:color w:val="000000"/>
          <w:sz w:val="18"/>
        </w:rPr>
        <w:t> </w:t>
      </w:r>
    </w:p>
    <w:tbl>
      <w:tblPr>
        <w:tblStyle w:val="a3"/>
        <w:tblW w:w="0" w:type="auto"/>
        <w:tblCellMar>
          <w:left w:w="0" w:type="dxa"/>
          <w:right w:w="0" w:type="dxa"/>
        </w:tblCellMar>
        <w:tblLook w:val="04A0"/>
      </w:tblPr>
      <w:tblGrid>
        <w:gridCol w:w="1446"/>
        <w:gridCol w:w="3104"/>
        <w:gridCol w:w="3972"/>
      </w:tblGrid>
      <w:tr w:rsidR="00E22F4C">
        <w:tc>
          <w:tcPr>
            <w:tcW w:w="144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center"/>
            </w:pPr>
            <w:r>
              <w:rPr>
                <w:rFonts w:ascii="宋体" w:hAnsi="宋体"/>
                <w:color w:val="000000"/>
                <w:sz w:val="18"/>
              </w:rPr>
              <w:t>钨精矿</w:t>
            </w:r>
          </w:p>
        </w:tc>
        <w:tc>
          <w:tcPr>
            <w:tcW w:w="3104" w:type="dxa"/>
            <w:tcBorders>
              <w:top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noProof/>
              </w:rPr>
              <w:drawing>
                <wp:inline distT="0" distB="0" distL="0" distR="0">
                  <wp:extent cx="1762125" cy="144780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18"/>
                          <a:srcRect/>
                          <a:stretch>
                            <a:fillRect/>
                          </a:stretch>
                        </pic:blipFill>
                        <pic:spPr bwMode="auto">
                          <a:xfrm>
                            <a:off x="0" y="0"/>
                            <a:ext cx="1762125" cy="1447800"/>
                          </a:xfrm>
                          <a:prstGeom prst="rect">
                            <a:avLst/>
                          </a:prstGeom>
                        </pic:spPr>
                      </pic:pic>
                    </a:graphicData>
                  </a:graphic>
                </wp:inline>
              </w:drawing>
            </w:r>
            <w:r>
              <w:rPr>
                <w:rFonts w:ascii="Times New Roman" w:hAnsi="Times New Roman"/>
                <w:color w:val="000000"/>
                <w:sz w:val="18"/>
              </w:rPr>
              <w:t> </w:t>
            </w:r>
          </w:p>
        </w:tc>
        <w:tc>
          <w:tcPr>
            <w:tcW w:w="3972" w:type="dxa"/>
            <w:tcBorders>
              <w:top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rFonts w:ascii="宋体" w:hAnsi="宋体"/>
                <w:color w:val="000000"/>
                <w:sz w:val="18"/>
              </w:rPr>
              <w:t>钨精矿的选矿工艺一般是由钨矿石</w:t>
            </w:r>
            <w:r>
              <w:rPr>
                <w:rFonts w:ascii="Times New Roman" w:hAnsi="Times New Roman"/>
                <w:color w:val="000000"/>
                <w:sz w:val="18"/>
              </w:rPr>
              <w:t>(</w:t>
            </w:r>
            <w:r>
              <w:rPr>
                <w:rFonts w:ascii="宋体" w:hAnsi="宋体"/>
                <w:color w:val="000000"/>
                <w:sz w:val="18"/>
              </w:rPr>
              <w:t>黑钨矿或白钨矿</w:t>
            </w:r>
            <w:r>
              <w:rPr>
                <w:rFonts w:ascii="Times New Roman" w:hAnsi="Times New Roman"/>
                <w:color w:val="000000"/>
                <w:sz w:val="18"/>
              </w:rPr>
              <w:t>)</w:t>
            </w:r>
            <w:r>
              <w:rPr>
                <w:rFonts w:ascii="宋体" w:hAnsi="宋体"/>
                <w:color w:val="000000"/>
                <w:sz w:val="18"/>
              </w:rPr>
              <w:t>经破碎、球磨、重选</w:t>
            </w:r>
            <w:r>
              <w:rPr>
                <w:rFonts w:ascii="Times New Roman" w:hAnsi="Times New Roman"/>
                <w:color w:val="000000"/>
                <w:sz w:val="18"/>
              </w:rPr>
              <w:t>(</w:t>
            </w:r>
            <w:r>
              <w:rPr>
                <w:rFonts w:ascii="宋体" w:hAnsi="宋体"/>
                <w:color w:val="000000"/>
                <w:sz w:val="18"/>
              </w:rPr>
              <w:t>主要有摇床、跳汰</w:t>
            </w:r>
            <w:r>
              <w:rPr>
                <w:rFonts w:ascii="Times New Roman" w:hAnsi="Times New Roman"/>
                <w:color w:val="000000"/>
                <w:sz w:val="18"/>
              </w:rPr>
              <w:t>)</w:t>
            </w:r>
            <w:r>
              <w:rPr>
                <w:rFonts w:ascii="宋体" w:hAnsi="宋体"/>
                <w:color w:val="000000"/>
                <w:sz w:val="18"/>
              </w:rPr>
              <w:t>、浮选、电选、磁选等工艺过程</w:t>
            </w:r>
            <w:r>
              <w:rPr>
                <w:rFonts w:ascii="Times New Roman" w:hAnsi="Times New Roman"/>
                <w:color w:val="000000"/>
                <w:sz w:val="18"/>
              </w:rPr>
              <w:t>,</w:t>
            </w:r>
            <w:r>
              <w:rPr>
                <w:rFonts w:ascii="宋体" w:hAnsi="宋体"/>
                <w:color w:val="000000"/>
                <w:sz w:val="18"/>
              </w:rPr>
              <w:t>生产出达到国家标准的黑钨精矿或白钨精矿。它是生产钨铁、钨酸钠、仲钨酸铵</w:t>
            </w:r>
            <w:r>
              <w:rPr>
                <w:rFonts w:ascii="Times New Roman" w:hAnsi="Times New Roman"/>
                <w:color w:val="000000"/>
                <w:sz w:val="18"/>
              </w:rPr>
              <w:t>(APT)</w:t>
            </w:r>
            <w:r>
              <w:rPr>
                <w:rFonts w:ascii="宋体" w:hAnsi="宋体"/>
                <w:color w:val="000000"/>
                <w:sz w:val="18"/>
              </w:rPr>
              <w:t>、偏钨酸铵</w:t>
            </w:r>
            <w:r>
              <w:rPr>
                <w:rFonts w:ascii="Times New Roman" w:hAnsi="Times New Roman"/>
                <w:color w:val="000000"/>
                <w:sz w:val="18"/>
              </w:rPr>
              <w:t>(AMT)</w:t>
            </w:r>
            <w:r>
              <w:rPr>
                <w:rFonts w:ascii="宋体" w:hAnsi="宋体"/>
                <w:color w:val="000000"/>
                <w:sz w:val="18"/>
              </w:rPr>
              <w:t>等钨化合物的主要原料</w:t>
            </w:r>
            <w:r>
              <w:rPr>
                <w:rFonts w:ascii="Times New Roman" w:hAnsi="Times New Roman"/>
                <w:color w:val="000000"/>
                <w:sz w:val="18"/>
              </w:rPr>
              <w:t>,</w:t>
            </w:r>
            <w:r>
              <w:rPr>
                <w:rFonts w:ascii="宋体" w:hAnsi="宋体"/>
                <w:color w:val="000000"/>
                <w:sz w:val="18"/>
              </w:rPr>
              <w:t>其下游产品主要有三氧化钨、蓝色氧化钨、钨粉、碳化钨、硬质合金、钨钢、钨条、钨丝等。</w:t>
            </w:r>
          </w:p>
        </w:tc>
      </w:tr>
      <w:tr w:rsidR="00E22F4C">
        <w:tc>
          <w:tcPr>
            <w:tcW w:w="1446" w:type="dxa"/>
            <w:tcBorders>
              <w:left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center"/>
            </w:pPr>
            <w:r>
              <w:rPr>
                <w:rFonts w:ascii="Times New Roman" w:hAnsi="Times New Roman"/>
                <w:color w:val="000000"/>
                <w:sz w:val="18"/>
              </w:rPr>
              <w:t>APT</w:t>
            </w:r>
          </w:p>
        </w:tc>
        <w:tc>
          <w:tcPr>
            <w:tcW w:w="3104"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noProof/>
              </w:rPr>
              <w:drawing>
                <wp:inline distT="0" distB="0" distL="0" distR="0">
                  <wp:extent cx="1771650" cy="107632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rcRect/>
                          <a:stretch>
                            <a:fillRect/>
                          </a:stretch>
                        </pic:blipFill>
                        <pic:spPr bwMode="auto">
                          <a:xfrm>
                            <a:off x="0" y="0"/>
                            <a:ext cx="1771650" cy="1076325"/>
                          </a:xfrm>
                          <a:prstGeom prst="rect">
                            <a:avLst/>
                          </a:prstGeom>
                        </pic:spPr>
                      </pic:pic>
                    </a:graphicData>
                  </a:graphic>
                </wp:inline>
              </w:drawing>
            </w:r>
            <w:r>
              <w:rPr>
                <w:rFonts w:ascii="Times New Roman" w:hAnsi="Times New Roman"/>
                <w:color w:val="000000"/>
                <w:sz w:val="18"/>
              </w:rPr>
              <w:t> </w:t>
            </w:r>
          </w:p>
        </w:tc>
        <w:tc>
          <w:tcPr>
            <w:tcW w:w="3972"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rFonts w:ascii="宋体" w:hAnsi="宋体"/>
                <w:color w:val="000000"/>
                <w:sz w:val="18"/>
              </w:rPr>
              <w:t>属钨工业的中间产品，由钨精矿经压煮、离子交换、蒸发结晶而制得，主要用于制造氧化钨、偏钨酸铵及其他钨化合物，也可以用于石油化工行业作添加剂。</w:t>
            </w:r>
          </w:p>
        </w:tc>
      </w:tr>
      <w:tr w:rsidR="00E22F4C">
        <w:tc>
          <w:tcPr>
            <w:tcW w:w="1446" w:type="dxa"/>
            <w:tcBorders>
              <w:left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center"/>
            </w:pPr>
            <w:r>
              <w:rPr>
                <w:rFonts w:ascii="宋体" w:hAnsi="宋体"/>
                <w:color w:val="000000"/>
                <w:sz w:val="18"/>
              </w:rPr>
              <w:t>氧化钨</w:t>
            </w:r>
          </w:p>
        </w:tc>
        <w:tc>
          <w:tcPr>
            <w:tcW w:w="3104"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noProof/>
              </w:rPr>
              <w:drawing>
                <wp:inline distT="0" distB="0" distL="0" distR="0">
                  <wp:extent cx="1781175" cy="1019174"/>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20"/>
                          <a:srcRect/>
                          <a:stretch>
                            <a:fillRect/>
                          </a:stretch>
                        </pic:blipFill>
                        <pic:spPr bwMode="auto">
                          <a:xfrm>
                            <a:off x="0" y="0"/>
                            <a:ext cx="1781175" cy="1019174"/>
                          </a:xfrm>
                          <a:prstGeom prst="rect">
                            <a:avLst/>
                          </a:prstGeom>
                        </pic:spPr>
                      </pic:pic>
                    </a:graphicData>
                  </a:graphic>
                </wp:inline>
              </w:drawing>
            </w:r>
            <w:r>
              <w:rPr>
                <w:rFonts w:ascii="Times New Roman" w:hAnsi="Times New Roman"/>
                <w:color w:val="000000"/>
                <w:sz w:val="18"/>
              </w:rPr>
              <w:t> </w:t>
            </w:r>
          </w:p>
        </w:tc>
        <w:tc>
          <w:tcPr>
            <w:tcW w:w="3972"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rFonts w:ascii="宋体" w:hAnsi="宋体"/>
                <w:color w:val="000000"/>
                <w:sz w:val="18"/>
              </w:rPr>
              <w:t>属钨工业的中间产品，由</w:t>
            </w:r>
            <w:r>
              <w:rPr>
                <w:rFonts w:ascii="Times New Roman" w:hAnsi="Times New Roman"/>
                <w:color w:val="000000"/>
                <w:sz w:val="18"/>
              </w:rPr>
              <w:t>APT</w:t>
            </w:r>
            <w:r>
              <w:rPr>
                <w:rFonts w:ascii="宋体" w:hAnsi="宋体"/>
                <w:color w:val="000000"/>
                <w:sz w:val="18"/>
              </w:rPr>
              <w:t>煅烧制成，有黄色氧化钨、蓝色氧化钨和紫色氧化钨等多种氧化形态。氧化钨是生产钨粉的主要原料，主要用于生产金属钨粉和碳化钨粉，同时也可以用于生产化工产品，如油漆和涂料、石油工业催化剂等。</w:t>
            </w:r>
          </w:p>
        </w:tc>
      </w:tr>
      <w:tr w:rsidR="00E22F4C">
        <w:tc>
          <w:tcPr>
            <w:tcW w:w="1446" w:type="dxa"/>
            <w:tcBorders>
              <w:left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center"/>
            </w:pPr>
            <w:r>
              <w:rPr>
                <w:rFonts w:ascii="宋体" w:hAnsi="宋体"/>
                <w:color w:val="000000"/>
                <w:sz w:val="18"/>
              </w:rPr>
              <w:t>钨粉</w:t>
            </w:r>
          </w:p>
        </w:tc>
        <w:tc>
          <w:tcPr>
            <w:tcW w:w="3104"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noProof/>
              </w:rPr>
              <w:drawing>
                <wp:inline distT="0" distB="0" distL="0" distR="0">
                  <wp:extent cx="1771650" cy="11239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1"/>
                          <a:srcRect/>
                          <a:stretch>
                            <a:fillRect/>
                          </a:stretch>
                        </pic:blipFill>
                        <pic:spPr bwMode="auto">
                          <a:xfrm>
                            <a:off x="0" y="0"/>
                            <a:ext cx="1771650" cy="1123950"/>
                          </a:xfrm>
                          <a:prstGeom prst="rect">
                            <a:avLst/>
                          </a:prstGeom>
                        </pic:spPr>
                      </pic:pic>
                    </a:graphicData>
                  </a:graphic>
                </wp:inline>
              </w:drawing>
            </w:r>
            <w:r>
              <w:rPr>
                <w:rFonts w:ascii="Times New Roman" w:hAnsi="Times New Roman"/>
                <w:color w:val="000000"/>
                <w:sz w:val="18"/>
              </w:rPr>
              <w:t> </w:t>
            </w:r>
          </w:p>
        </w:tc>
        <w:tc>
          <w:tcPr>
            <w:tcW w:w="3972"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rFonts w:ascii="宋体" w:hAnsi="宋体"/>
                <w:color w:val="000000"/>
                <w:sz w:val="18"/>
              </w:rPr>
              <w:t>以氧化钨为原料，用氢气还原制成，主要用作钨材加工及碳化钨生产的原料。钨粉是加工钨材制品和钨合金的主要原料。纯钨粉可制成丝、棒、管、板等加工材和一定形状的制品；钨粉与其他金属粉末混合，可以制成各种钨合金，如钨钼合金、钨铼合金、钨铜合金等。</w:t>
            </w:r>
          </w:p>
        </w:tc>
      </w:tr>
      <w:tr w:rsidR="00E22F4C">
        <w:tc>
          <w:tcPr>
            <w:tcW w:w="1446" w:type="dxa"/>
            <w:tcBorders>
              <w:left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center"/>
            </w:pPr>
            <w:r>
              <w:rPr>
                <w:rFonts w:ascii="宋体" w:hAnsi="宋体"/>
                <w:color w:val="000000"/>
                <w:sz w:val="18"/>
              </w:rPr>
              <w:lastRenderedPageBreak/>
              <w:t>碳化钨粉</w:t>
            </w:r>
          </w:p>
        </w:tc>
        <w:tc>
          <w:tcPr>
            <w:tcW w:w="3104"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noProof/>
              </w:rPr>
              <w:drawing>
                <wp:inline distT="0" distB="0" distL="0" distR="0">
                  <wp:extent cx="1771650" cy="117157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22"/>
                          <a:srcRect/>
                          <a:stretch>
                            <a:fillRect/>
                          </a:stretch>
                        </pic:blipFill>
                        <pic:spPr bwMode="auto">
                          <a:xfrm>
                            <a:off x="0" y="0"/>
                            <a:ext cx="1771650" cy="1171575"/>
                          </a:xfrm>
                          <a:prstGeom prst="rect">
                            <a:avLst/>
                          </a:prstGeom>
                        </pic:spPr>
                      </pic:pic>
                    </a:graphicData>
                  </a:graphic>
                </wp:inline>
              </w:drawing>
            </w:r>
            <w:r>
              <w:rPr>
                <w:rFonts w:ascii="Times New Roman" w:hAnsi="Times New Roman"/>
                <w:color w:val="000000"/>
                <w:sz w:val="18"/>
              </w:rPr>
              <w:t> </w:t>
            </w:r>
          </w:p>
        </w:tc>
        <w:tc>
          <w:tcPr>
            <w:tcW w:w="3972"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rFonts w:ascii="宋体" w:hAnsi="宋体"/>
                <w:color w:val="000000"/>
                <w:sz w:val="18"/>
              </w:rPr>
              <w:t>以金属钨粉和炭黑为原料，经过配碳、碳化、球磨、过筛工序制成，黑色六方晶体，有金属光泽，为电、热的良好导体，具有较高熔沸点，化学性质非常稳定。碳化钨粉是生产硬质合金的主要原料。</w:t>
            </w:r>
          </w:p>
        </w:tc>
      </w:tr>
      <w:tr w:rsidR="00E22F4C">
        <w:tc>
          <w:tcPr>
            <w:tcW w:w="1446" w:type="dxa"/>
            <w:tcBorders>
              <w:left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center"/>
            </w:pPr>
            <w:r>
              <w:rPr>
                <w:rFonts w:ascii="宋体" w:hAnsi="宋体"/>
                <w:color w:val="000000"/>
                <w:sz w:val="18"/>
              </w:rPr>
              <w:t>钨硬质合金</w:t>
            </w:r>
          </w:p>
        </w:tc>
        <w:tc>
          <w:tcPr>
            <w:tcW w:w="3104"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noProof/>
              </w:rPr>
              <w:drawing>
                <wp:inline distT="0" distB="0" distL="0" distR="0">
                  <wp:extent cx="1771650" cy="120967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3"/>
                          <a:srcRect/>
                          <a:stretch>
                            <a:fillRect/>
                          </a:stretch>
                        </pic:blipFill>
                        <pic:spPr bwMode="auto">
                          <a:xfrm>
                            <a:off x="0" y="0"/>
                            <a:ext cx="1771650" cy="1209675"/>
                          </a:xfrm>
                          <a:prstGeom prst="rect">
                            <a:avLst/>
                          </a:prstGeom>
                        </pic:spPr>
                      </pic:pic>
                    </a:graphicData>
                  </a:graphic>
                </wp:inline>
              </w:drawing>
            </w:r>
            <w:r>
              <w:rPr>
                <w:rFonts w:ascii="Times New Roman" w:hAnsi="Times New Roman"/>
                <w:color w:val="000000"/>
                <w:sz w:val="18"/>
              </w:rPr>
              <w:t> </w:t>
            </w:r>
          </w:p>
        </w:tc>
        <w:tc>
          <w:tcPr>
            <w:tcW w:w="3972"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rFonts w:ascii="宋体" w:hAnsi="宋体"/>
                <w:color w:val="000000"/>
                <w:sz w:val="18"/>
              </w:rPr>
              <w:t>以碳化钨粉为硬质相，以钴为粘结剂，经混合、湿磨、干燥、制粒后制成混合料，再将混合料压制成坯料，经过压制、烧结制成具备所需性能的硬质合金材料，主要用于制作各种切削工具、刀具、钻具、矿山工具和耐磨零部件等。</w:t>
            </w:r>
          </w:p>
        </w:tc>
      </w:tr>
      <w:tr w:rsidR="00E22F4C">
        <w:tc>
          <w:tcPr>
            <w:tcW w:w="1446" w:type="dxa"/>
            <w:tcBorders>
              <w:left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center"/>
            </w:pPr>
            <w:r>
              <w:rPr>
                <w:rFonts w:ascii="宋体" w:hAnsi="宋体"/>
                <w:color w:val="000000"/>
                <w:sz w:val="18"/>
              </w:rPr>
              <w:t>硬质合金刀具</w:t>
            </w:r>
          </w:p>
        </w:tc>
        <w:tc>
          <w:tcPr>
            <w:tcW w:w="3104"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noProof/>
              </w:rPr>
              <w:drawing>
                <wp:inline distT="0" distB="0" distL="0" distR="0">
                  <wp:extent cx="1771650" cy="133350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noChangeArrowheads="1"/>
                          </pic:cNvPicPr>
                        </pic:nvPicPr>
                        <pic:blipFill>
                          <a:blip r:embed="rId24"/>
                          <a:srcRect/>
                          <a:stretch>
                            <a:fillRect/>
                          </a:stretch>
                        </pic:blipFill>
                        <pic:spPr bwMode="auto">
                          <a:xfrm>
                            <a:off x="0" y="0"/>
                            <a:ext cx="1771650" cy="1333500"/>
                          </a:xfrm>
                          <a:prstGeom prst="rect">
                            <a:avLst/>
                          </a:prstGeom>
                        </pic:spPr>
                      </pic:pic>
                    </a:graphicData>
                  </a:graphic>
                </wp:inline>
              </w:drawing>
            </w:r>
            <w:r>
              <w:rPr>
                <w:rFonts w:ascii="Times New Roman" w:hAnsi="Times New Roman"/>
                <w:color w:val="000000"/>
                <w:sz w:val="18"/>
              </w:rPr>
              <w:t> </w:t>
            </w:r>
          </w:p>
        </w:tc>
        <w:tc>
          <w:tcPr>
            <w:tcW w:w="3972"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rFonts w:ascii="宋体" w:hAnsi="宋体"/>
                <w:color w:val="000000"/>
                <w:sz w:val="18"/>
              </w:rPr>
              <w:t>硬质合金刀具主要以公司自产的硬质合金为原料，根据客户的需求，加工处理而成。其适用于各种碳钢、铸铁、不锈钢、耐热钢、镍基及钛合金等材料的加工，亦适用于铝镁合金、超硬合金钢、各种</w:t>
            </w:r>
            <w:r>
              <w:rPr>
                <w:rFonts w:ascii="Times New Roman" w:hAnsi="Times New Roman"/>
                <w:color w:val="000000"/>
                <w:sz w:val="18"/>
              </w:rPr>
              <w:t>PCB</w:t>
            </w:r>
            <w:r>
              <w:rPr>
                <w:rFonts w:ascii="宋体" w:hAnsi="宋体"/>
                <w:color w:val="000000"/>
                <w:sz w:val="18"/>
              </w:rPr>
              <w:t>基板、超硬塑料材料、超硬纤维材料等。</w:t>
            </w:r>
          </w:p>
        </w:tc>
      </w:tr>
      <w:tr w:rsidR="00E22F4C">
        <w:tc>
          <w:tcPr>
            <w:tcW w:w="1446" w:type="dxa"/>
            <w:tcBorders>
              <w:left w:val="single" w:sz="8" w:space="0" w:color="000000"/>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center"/>
            </w:pPr>
            <w:r>
              <w:rPr>
                <w:rFonts w:ascii="宋体" w:hAnsi="宋体"/>
                <w:color w:val="000000"/>
                <w:sz w:val="18"/>
              </w:rPr>
              <w:t>钨丝</w:t>
            </w:r>
          </w:p>
        </w:tc>
        <w:tc>
          <w:tcPr>
            <w:tcW w:w="3104"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noProof/>
              </w:rPr>
              <w:drawing>
                <wp:inline distT="0" distB="0" distL="0" distR="0">
                  <wp:extent cx="1876425" cy="140970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5"/>
                          <a:srcRect/>
                          <a:stretch>
                            <a:fillRect/>
                          </a:stretch>
                        </pic:blipFill>
                        <pic:spPr bwMode="auto">
                          <a:xfrm>
                            <a:off x="0" y="0"/>
                            <a:ext cx="1876425" cy="1409700"/>
                          </a:xfrm>
                          <a:prstGeom prst="rect">
                            <a:avLst/>
                          </a:prstGeom>
                        </pic:spPr>
                      </pic:pic>
                    </a:graphicData>
                  </a:graphic>
                </wp:inline>
              </w:drawing>
            </w:r>
          </w:p>
        </w:tc>
        <w:tc>
          <w:tcPr>
            <w:tcW w:w="3972" w:type="dxa"/>
            <w:tcBorders>
              <w:bottom w:val="single" w:sz="8" w:space="0" w:color="000000"/>
              <w:right w:val="single" w:sz="8" w:space="0" w:color="000000"/>
            </w:tcBorders>
            <w:tcMar>
              <w:top w:w="10" w:type="dxa"/>
              <w:left w:w="10" w:type="dxa"/>
              <w:bottom w:w="10" w:type="dxa"/>
              <w:right w:w="10" w:type="dxa"/>
            </w:tcMar>
          </w:tcPr>
          <w:p w:rsidR="00E22F4C" w:rsidRDefault="00381575">
            <w:pPr>
              <w:spacing w:before="40" w:after="40"/>
              <w:jc w:val="both"/>
            </w:pPr>
            <w:r>
              <w:rPr>
                <w:rFonts w:ascii="宋体" w:hAnsi="宋体"/>
                <w:color w:val="000000"/>
                <w:sz w:val="18"/>
              </w:rPr>
              <w:t>钨丝通过等压制、烧结、轧制、旋锻、拉丝拉制而成。主要应用于切割光伏晶硅、水晶、磁性材料、蓝宝石等硬脆材料。</w:t>
            </w:r>
          </w:p>
        </w:tc>
      </w:tr>
    </w:tbl>
    <w:p w:rsidR="00E22F4C" w:rsidRDefault="00381575">
      <w:pPr>
        <w:spacing w:before="119"/>
        <w:jc w:val="both"/>
      </w:pPr>
      <w:r>
        <w:rPr>
          <w:rFonts w:ascii="Times New Roman" w:hAnsi="Times New Roman"/>
          <w:color w:val="000000"/>
          <w:sz w:val="18"/>
        </w:rPr>
        <w:t>3</w:t>
      </w:r>
      <w:r>
        <w:rPr>
          <w:rFonts w:ascii="宋体" w:hAnsi="宋体"/>
          <w:color w:val="000000"/>
          <w:sz w:val="18"/>
        </w:rPr>
        <w:t>、主要经营模式</w:t>
      </w:r>
    </w:p>
    <w:p w:rsidR="00E22F4C" w:rsidRDefault="00381575">
      <w:pPr>
        <w:jc w:val="both"/>
      </w:pPr>
      <w:r>
        <w:rPr>
          <w:rFonts w:ascii="宋体" w:hAnsi="宋体"/>
          <w:sz w:val="18"/>
        </w:rPr>
        <w:t>（</w:t>
      </w:r>
      <w:r>
        <w:rPr>
          <w:rFonts w:ascii="Calibri" w:hAnsi="Calibri"/>
          <w:sz w:val="18"/>
        </w:rPr>
        <w:t>1</w:t>
      </w:r>
      <w:r>
        <w:rPr>
          <w:rFonts w:ascii="宋体" w:hAnsi="宋体"/>
          <w:sz w:val="18"/>
        </w:rPr>
        <w:t>）公司生产模式</w:t>
      </w:r>
    </w:p>
    <w:p w:rsidR="00E22F4C" w:rsidRDefault="00381575">
      <w:pPr>
        <w:ind w:firstLine="360"/>
        <w:jc w:val="both"/>
      </w:pPr>
      <w:r>
        <w:rPr>
          <w:rFonts w:ascii="宋体" w:hAnsi="宋体"/>
          <w:sz w:val="18"/>
        </w:rPr>
        <w:t>公司的粉末系列产品及非标刀具生产模式是以订单式生产为主。根据销售部门接收的订单安排生产计划，组织人员进行生产。同时，结合销售预测、库存情况及生产周期进行中间产品的备货生产，提高生产效率及对客户产品订单的响应速度。</w:t>
      </w:r>
    </w:p>
    <w:p w:rsidR="00E22F4C" w:rsidRDefault="00381575">
      <w:pPr>
        <w:ind w:firstLine="360"/>
        <w:jc w:val="both"/>
      </w:pPr>
      <w:r>
        <w:rPr>
          <w:rFonts w:ascii="宋体" w:hAnsi="宋体"/>
          <w:sz w:val="18"/>
        </w:rPr>
        <w:t>硬质合金棒材及刀具（标准产品）生产模式除订单式生产外，会形成部分库存，以提高客户交付的响应速度。</w:t>
      </w:r>
    </w:p>
    <w:p w:rsidR="00E22F4C" w:rsidRDefault="00381575">
      <w:pPr>
        <w:jc w:val="both"/>
      </w:pPr>
      <w:r>
        <w:rPr>
          <w:rFonts w:ascii="宋体" w:hAnsi="宋体"/>
          <w:sz w:val="18"/>
        </w:rPr>
        <w:t>（</w:t>
      </w:r>
      <w:r>
        <w:rPr>
          <w:rFonts w:ascii="Calibri" w:hAnsi="Calibri"/>
          <w:sz w:val="18"/>
        </w:rPr>
        <w:t>2</w:t>
      </w:r>
      <w:r>
        <w:rPr>
          <w:rFonts w:ascii="宋体" w:hAnsi="宋体"/>
          <w:sz w:val="18"/>
        </w:rPr>
        <w:t>）公司销售模式</w:t>
      </w:r>
      <w:r>
        <w:rPr>
          <w:rFonts w:ascii="Calibri" w:hAnsi="Calibri"/>
          <w:sz w:val="18"/>
        </w:rPr>
        <w:t xml:space="preserve"> </w:t>
      </w:r>
    </w:p>
    <w:p w:rsidR="00E22F4C" w:rsidRDefault="00381575">
      <w:pPr>
        <w:ind w:firstLine="360"/>
        <w:jc w:val="both"/>
      </w:pPr>
      <w:r>
        <w:rPr>
          <w:rFonts w:ascii="宋体" w:hAnsi="宋体"/>
          <w:sz w:val="18"/>
        </w:rPr>
        <w:t>公司采用了直销为主，经销为辅的销售模式，这两种销售模式都属于买断式销售。直销模式下，公司开拓客户，销售人员直接联系客户推广。经销模式下，公司产品直接销售给经销商，经销商负责产品销售并自负盈亏，同时，公司为经销商的下游客户提供技术指导，下游客户的使用反馈也直接提供给公司。在实际经营中，大部分业务均直接与用户对接，客户向公司提出产品的具体要求，公司再安排生产、销售及售后服务。</w:t>
      </w:r>
    </w:p>
    <w:p w:rsidR="00E22F4C" w:rsidRDefault="00381575">
      <w:pPr>
        <w:jc w:val="both"/>
      </w:pPr>
      <w:r>
        <w:rPr>
          <w:rFonts w:ascii="宋体" w:hAnsi="宋体"/>
          <w:sz w:val="18"/>
        </w:rPr>
        <w:t>（</w:t>
      </w:r>
      <w:r>
        <w:rPr>
          <w:rFonts w:ascii="Calibri" w:hAnsi="Calibri"/>
          <w:sz w:val="18"/>
        </w:rPr>
        <w:t>3</w:t>
      </w:r>
      <w:r>
        <w:rPr>
          <w:rFonts w:ascii="宋体" w:hAnsi="宋体"/>
          <w:sz w:val="18"/>
        </w:rPr>
        <w:t>）公司采购模式</w:t>
      </w:r>
    </w:p>
    <w:p w:rsidR="00E22F4C" w:rsidRDefault="00381575">
      <w:pPr>
        <w:ind w:firstLine="360"/>
        <w:jc w:val="both"/>
      </w:pPr>
      <w:r>
        <w:rPr>
          <w:rFonts w:ascii="宋体" w:hAnsi="宋体"/>
          <w:sz w:val="18"/>
        </w:rPr>
        <w:t>公司根据物料的不同，采取不同的采购模式。</w:t>
      </w:r>
      <w:r>
        <w:rPr>
          <w:rFonts w:ascii="Calibri" w:hAnsi="Calibri"/>
          <w:sz w:val="18"/>
        </w:rPr>
        <w:t xml:space="preserve"> </w:t>
      </w:r>
    </w:p>
    <w:p w:rsidR="00E22F4C" w:rsidRDefault="00381575">
      <w:r>
        <w:rPr>
          <w:rFonts w:ascii="宋体" w:hAnsi="宋体"/>
          <w:sz w:val="18"/>
        </w:rPr>
        <w:t>对于钨精矿，按照生产计划进行采购，结合钨精矿的库存确定采购量，并根据供应商报价以及三大网站（亚洲金属网、中华商务网、伦敦金属导报）的报价情况确定采购价格。综合考虑正常采购流程及突发情况两方面因素，公司钨精矿通常需要</w:t>
      </w:r>
      <w:r>
        <w:rPr>
          <w:rFonts w:ascii="Calibri" w:hAnsi="Calibri"/>
          <w:sz w:val="18"/>
        </w:rPr>
        <w:t>1-2</w:t>
      </w:r>
      <w:r>
        <w:rPr>
          <w:rFonts w:ascii="宋体" w:hAnsi="宋体"/>
          <w:sz w:val="18"/>
        </w:rPr>
        <w:t>个月的安全库存。对于</w:t>
      </w:r>
      <w:r>
        <w:rPr>
          <w:rFonts w:ascii="Calibri" w:hAnsi="Calibri"/>
          <w:sz w:val="18"/>
        </w:rPr>
        <w:t>APT</w:t>
      </w:r>
      <w:r>
        <w:rPr>
          <w:rFonts w:ascii="宋体" w:hAnsi="宋体"/>
          <w:sz w:val="18"/>
        </w:rPr>
        <w:t>，公司根据自产</w:t>
      </w:r>
      <w:r>
        <w:rPr>
          <w:rFonts w:ascii="Calibri" w:hAnsi="Calibri"/>
          <w:sz w:val="18"/>
        </w:rPr>
        <w:t>APT</w:t>
      </w:r>
      <w:r>
        <w:rPr>
          <w:rFonts w:ascii="宋体" w:hAnsi="宋体"/>
          <w:sz w:val="18"/>
        </w:rPr>
        <w:t>数量与所需</w:t>
      </w:r>
      <w:r>
        <w:rPr>
          <w:rFonts w:ascii="Calibri" w:hAnsi="Calibri"/>
          <w:sz w:val="18"/>
        </w:rPr>
        <w:t>APT</w:t>
      </w:r>
      <w:r>
        <w:rPr>
          <w:rFonts w:ascii="宋体" w:hAnsi="宋体"/>
          <w:sz w:val="18"/>
        </w:rPr>
        <w:t>的耗用量之间的缺口进行补充采购。同时，</w:t>
      </w:r>
      <w:r>
        <w:rPr>
          <w:rFonts w:ascii="宋体" w:hAnsi="宋体"/>
          <w:sz w:val="18"/>
        </w:rPr>
        <w:lastRenderedPageBreak/>
        <w:t>针对两种生产原料的采购，公司会根据市场价格的走势科学的进行库存管控。</w:t>
      </w:r>
    </w:p>
    <w:p w:rsidR="00E22F4C" w:rsidRDefault="00381575">
      <w:pPr>
        <w:pStyle w:val="2"/>
        <w:spacing w:before="300" w:after="300" w:line="320" w:lineRule="exact"/>
        <w:rPr>
          <w:rFonts w:ascii="宋体" w:eastAsia="宋体" w:hAnsi="宋体" w:cs="宋体"/>
          <w:b/>
          <w:bCs/>
          <w:sz w:val="24"/>
          <w:szCs w:val="24"/>
        </w:rPr>
      </w:pPr>
      <w:bookmarkStart w:id="16" w:name="_Toc988905"/>
      <w:r>
        <w:rPr>
          <w:rFonts w:ascii="宋体" w:eastAsia="宋体" w:hAnsi="宋体" w:cs="宋体"/>
          <w:b/>
          <w:bCs/>
          <w:sz w:val="24"/>
          <w:szCs w:val="24"/>
        </w:rPr>
        <w:t>三、核心竞争力分析</w:t>
      </w:r>
      <w:bookmarkEnd w:id="16"/>
    </w:p>
    <w:p w:rsidR="00E22F4C" w:rsidRDefault="00E22F4C">
      <w:pPr>
        <w:pStyle w:val="a4"/>
        <w:spacing w:before="120" w:beforeAutospacing="0" w:after="0" w:afterAutospacing="0"/>
        <w:jc w:val="both"/>
        <w:divId w:val="379138975"/>
        <w:rPr>
          <w:sz w:val="18"/>
          <w:szCs w:val="18"/>
        </w:rPr>
      </w:pPr>
      <w:r>
        <w:rPr>
          <w:rFonts w:ascii="Times New Roman" w:hAnsi="Times New Roman" w:cs="Times New Roman"/>
          <w:color w:val="000000"/>
          <w:sz w:val="18"/>
          <w:szCs w:val="18"/>
        </w:rPr>
        <w:t>1</w:t>
      </w:r>
      <w:r>
        <w:rPr>
          <w:rFonts w:hint="eastAsia"/>
          <w:color w:val="000000"/>
          <w:sz w:val="18"/>
          <w:szCs w:val="18"/>
        </w:rPr>
        <w:t>、公司是国内钨行业具备完整产业链的企业之一，业务范围包括钨精矿采选、仲钨酸铵冶炼、氧化钨、钨粉、碳化钨粉、硬质合金及其整体硬质合金刀具等全系列钨产品的生产。完整的产业链对公司持续盈利及减少盈利波动创造了良好条件，增强了公司的抗风险能力。</w:t>
      </w:r>
    </w:p>
    <w:p w:rsidR="00E22F4C" w:rsidRDefault="00E22F4C">
      <w:pPr>
        <w:pStyle w:val="a4"/>
        <w:spacing w:before="120" w:beforeAutospacing="0" w:after="0" w:afterAutospacing="0"/>
        <w:jc w:val="both"/>
        <w:divId w:val="379138975"/>
        <w:rPr>
          <w:sz w:val="18"/>
          <w:szCs w:val="18"/>
        </w:rPr>
      </w:pPr>
      <w:r>
        <w:rPr>
          <w:rFonts w:ascii="Times New Roman" w:hAnsi="Times New Roman" w:cs="Times New Roman"/>
          <w:color w:val="000000"/>
          <w:sz w:val="18"/>
          <w:szCs w:val="18"/>
        </w:rPr>
        <w:t>2</w:t>
      </w:r>
      <w:r>
        <w:rPr>
          <w:rFonts w:hint="eastAsia"/>
          <w:color w:val="000000"/>
          <w:sz w:val="18"/>
          <w:szCs w:val="18"/>
        </w:rPr>
        <w:t>、公司拥有较为丰富的钨粉末系列产品，通过在超细碳化钨粉和超粗碳化钨粉两个方向持续的技术攻关，在碳化钨粉的粒度分布、颗粒集中度、减少团聚和夹粗等方面取得了领先的技术水平，公司能够根据产业链上下游的技术变化、产能变化、市场与客户变化等灵活改变产品组合，及时集中公司资源进行技术攻关，开发具有市场竞争力的产品。</w:t>
      </w:r>
    </w:p>
    <w:p w:rsidR="00E22F4C" w:rsidRDefault="00E22F4C">
      <w:pPr>
        <w:pStyle w:val="a4"/>
        <w:spacing w:before="120" w:beforeAutospacing="0" w:after="0" w:afterAutospacing="0"/>
        <w:jc w:val="both"/>
        <w:divId w:val="379138975"/>
        <w:rPr>
          <w:sz w:val="18"/>
          <w:szCs w:val="18"/>
        </w:rPr>
      </w:pPr>
      <w:r>
        <w:rPr>
          <w:rFonts w:ascii="Times New Roman" w:hAnsi="Times New Roman" w:cs="Times New Roman"/>
          <w:color w:val="000000"/>
          <w:sz w:val="18"/>
          <w:szCs w:val="18"/>
        </w:rPr>
        <w:t>3</w:t>
      </w:r>
      <w:r>
        <w:rPr>
          <w:rFonts w:hint="eastAsia"/>
          <w:color w:val="000000"/>
          <w:sz w:val="18"/>
          <w:szCs w:val="18"/>
        </w:rPr>
        <w:t>、公司控股子公司江西翔鹭拥有铁苍寨矿区钨矿采矿权，面积</w:t>
      </w:r>
      <w:r>
        <w:rPr>
          <w:rFonts w:ascii="Times New Roman" w:hAnsi="Times New Roman" w:cs="Times New Roman"/>
          <w:color w:val="000000"/>
          <w:sz w:val="18"/>
          <w:szCs w:val="18"/>
        </w:rPr>
        <w:t>5.96</w:t>
      </w:r>
      <w:r>
        <w:rPr>
          <w:rFonts w:hint="eastAsia"/>
          <w:color w:val="000000"/>
          <w:sz w:val="18"/>
          <w:szCs w:val="18"/>
        </w:rPr>
        <w:t>平方千米，开采矿种为钨、锡、铜矿。钨是我国重要的战略资源，属于贵重稀缺资源。</w:t>
      </w:r>
    </w:p>
    <w:p w:rsidR="00E22F4C" w:rsidRDefault="00E22F4C">
      <w:pPr>
        <w:pStyle w:val="a4"/>
        <w:spacing w:before="120" w:beforeAutospacing="0" w:after="0" w:afterAutospacing="0"/>
        <w:jc w:val="both"/>
        <w:divId w:val="379138975"/>
        <w:rPr>
          <w:sz w:val="18"/>
          <w:szCs w:val="18"/>
        </w:rPr>
      </w:pPr>
      <w:r>
        <w:rPr>
          <w:rFonts w:ascii="Times New Roman" w:hAnsi="Times New Roman" w:cs="Times New Roman"/>
          <w:color w:val="000000"/>
          <w:sz w:val="18"/>
          <w:szCs w:val="18"/>
        </w:rPr>
        <w:t>4</w:t>
      </w:r>
      <w:r>
        <w:rPr>
          <w:rFonts w:hint="eastAsia"/>
          <w:color w:val="000000"/>
          <w:sz w:val="18"/>
          <w:szCs w:val="18"/>
        </w:rPr>
        <w:t>、公司技术力量和技术创新能力在行业内处于先进水平。通过引进与自主创新、产学研相结合的模式，在钨产业技术发展方面取得了多项重大技术突破，并在产业链的各环节均拥有核心技术。</w:t>
      </w:r>
    </w:p>
    <w:p w:rsidR="00E22F4C" w:rsidRDefault="00E22F4C">
      <w:pPr>
        <w:pStyle w:val="a4"/>
        <w:spacing w:before="120" w:beforeAutospacing="0" w:after="0" w:afterAutospacing="0"/>
        <w:jc w:val="both"/>
        <w:divId w:val="379138975"/>
        <w:rPr>
          <w:sz w:val="18"/>
          <w:szCs w:val="18"/>
        </w:rPr>
      </w:pPr>
      <w:r>
        <w:rPr>
          <w:rFonts w:ascii="Times New Roman" w:hAnsi="Times New Roman" w:cs="Times New Roman"/>
          <w:color w:val="000000"/>
          <w:sz w:val="18"/>
          <w:szCs w:val="18"/>
        </w:rPr>
        <w:t>5</w:t>
      </w:r>
      <w:r>
        <w:rPr>
          <w:rFonts w:hint="eastAsia"/>
          <w:color w:val="000000"/>
          <w:sz w:val="18"/>
          <w:szCs w:val="18"/>
        </w:rPr>
        <w:t>、公司是商务部批准的</w:t>
      </w:r>
      <w:r>
        <w:rPr>
          <w:rFonts w:ascii="Times New Roman" w:hAnsi="Times New Roman" w:cs="Times New Roman"/>
          <w:color w:val="000000"/>
          <w:sz w:val="18"/>
          <w:szCs w:val="18"/>
        </w:rPr>
        <w:t>16</w:t>
      </w:r>
      <w:r>
        <w:rPr>
          <w:rFonts w:hint="eastAsia"/>
          <w:color w:val="000000"/>
          <w:sz w:val="18"/>
          <w:szCs w:val="18"/>
        </w:rPr>
        <w:t>家</w:t>
      </w:r>
      <w:r>
        <w:rPr>
          <w:rFonts w:ascii="Times New Roman" w:hAnsi="Times New Roman" w:cs="Times New Roman"/>
          <w:color w:val="000000"/>
          <w:sz w:val="18"/>
          <w:szCs w:val="18"/>
        </w:rPr>
        <w:t>"</w:t>
      </w:r>
      <w:r>
        <w:rPr>
          <w:rFonts w:hint="eastAsia"/>
          <w:color w:val="000000"/>
          <w:sz w:val="18"/>
          <w:szCs w:val="18"/>
        </w:rPr>
        <w:t>钨品国营贸易出口资格企业</w:t>
      </w:r>
      <w:r>
        <w:rPr>
          <w:rFonts w:ascii="Times New Roman" w:hAnsi="Times New Roman" w:cs="Times New Roman"/>
          <w:color w:val="000000"/>
          <w:sz w:val="18"/>
          <w:szCs w:val="18"/>
        </w:rPr>
        <w:t>"</w:t>
      </w:r>
      <w:r>
        <w:rPr>
          <w:rFonts w:hint="eastAsia"/>
          <w:color w:val="000000"/>
          <w:sz w:val="18"/>
          <w:szCs w:val="18"/>
        </w:rPr>
        <w:t>之一。</w:t>
      </w:r>
    </w:p>
    <w:p w:rsidR="00E22F4C" w:rsidRDefault="00E22F4C">
      <w:pPr>
        <w:pStyle w:val="a4"/>
        <w:spacing w:before="120" w:beforeAutospacing="0" w:after="0" w:afterAutospacing="0"/>
        <w:jc w:val="both"/>
        <w:divId w:val="379138975"/>
        <w:rPr>
          <w:sz w:val="18"/>
          <w:szCs w:val="18"/>
        </w:rPr>
      </w:pPr>
      <w:r>
        <w:rPr>
          <w:rFonts w:ascii="Times New Roman" w:hAnsi="Times New Roman" w:cs="Times New Roman"/>
          <w:color w:val="000000"/>
          <w:sz w:val="18"/>
          <w:szCs w:val="18"/>
        </w:rPr>
        <w:t>6</w:t>
      </w:r>
      <w:r>
        <w:rPr>
          <w:rFonts w:hint="eastAsia"/>
          <w:color w:val="000000"/>
          <w:sz w:val="18"/>
          <w:szCs w:val="18"/>
        </w:rPr>
        <w:t>、公司凭借优异的产品质量、丰富的产品结构以及较高的性价比，公司产品获得了众多海内外知名企业的认可，并保持了长期的合作关系。</w:t>
      </w:r>
    </w:p>
    <w:p w:rsidR="00E22F4C" w:rsidRDefault="00E22F4C">
      <w:pPr>
        <w:pStyle w:val="a4"/>
        <w:spacing w:before="40" w:beforeAutospacing="0" w:after="40" w:afterAutospacing="0"/>
        <w:jc w:val="both"/>
        <w:divId w:val="379138975"/>
        <w:rPr>
          <w:sz w:val="18"/>
          <w:szCs w:val="18"/>
        </w:rPr>
      </w:pPr>
      <w:r>
        <w:rPr>
          <w:rFonts w:ascii="Times New Roman" w:hAnsi="Times New Roman" w:cs="Times New Roman"/>
          <w:color w:val="000000"/>
          <w:sz w:val="18"/>
          <w:szCs w:val="18"/>
        </w:rPr>
        <w:t>7</w:t>
      </w:r>
      <w:r>
        <w:rPr>
          <w:rFonts w:hint="eastAsia"/>
          <w:color w:val="000000"/>
          <w:sz w:val="18"/>
          <w:szCs w:val="18"/>
        </w:rPr>
        <w:t>、公司粉末系列及合金棒材产品性能稳定，</w:t>
      </w:r>
      <w:r>
        <w:rPr>
          <w:rFonts w:ascii="Times New Roman" w:hAnsi="Times New Roman" w:cs="Times New Roman"/>
          <w:color w:val="000000"/>
          <w:sz w:val="18"/>
          <w:szCs w:val="18"/>
        </w:rPr>
        <w:t>“</w:t>
      </w:r>
      <w:r>
        <w:rPr>
          <w:rFonts w:hint="eastAsia"/>
          <w:color w:val="000000"/>
          <w:sz w:val="18"/>
          <w:szCs w:val="18"/>
        </w:rPr>
        <w:t>翔鹭</w:t>
      </w:r>
      <w:r>
        <w:rPr>
          <w:rFonts w:ascii="Times New Roman" w:hAnsi="Times New Roman" w:cs="Times New Roman"/>
          <w:color w:val="000000"/>
          <w:sz w:val="18"/>
          <w:szCs w:val="18"/>
        </w:rPr>
        <w:t>”</w:t>
      </w:r>
      <w:r>
        <w:rPr>
          <w:rFonts w:hint="eastAsia"/>
          <w:color w:val="000000"/>
          <w:sz w:val="18"/>
          <w:szCs w:val="18"/>
        </w:rPr>
        <w:t>品牌得到市场广泛认可。</w:t>
      </w:r>
    </w:p>
    <w:p w:rsidR="00E22F4C" w:rsidRDefault="00381575">
      <w:pPr>
        <w:pStyle w:val="2"/>
        <w:spacing w:before="300" w:after="300" w:line="320" w:lineRule="exact"/>
        <w:rPr>
          <w:rFonts w:ascii="宋体" w:eastAsia="宋体" w:hAnsi="宋体" w:cs="宋体"/>
          <w:b/>
          <w:bCs/>
          <w:sz w:val="24"/>
          <w:szCs w:val="24"/>
        </w:rPr>
      </w:pPr>
      <w:bookmarkStart w:id="17" w:name="_Toc988906"/>
      <w:r>
        <w:rPr>
          <w:rFonts w:ascii="宋体" w:eastAsia="宋体" w:hAnsi="宋体" w:cs="宋体"/>
          <w:b/>
          <w:bCs/>
          <w:sz w:val="24"/>
          <w:szCs w:val="24"/>
        </w:rPr>
        <w:t>四、主营业务分析</w:t>
      </w:r>
      <w:bookmarkEnd w:id="17"/>
    </w:p>
    <w:p w:rsidR="00E22F4C" w:rsidRDefault="00381575">
      <w:pPr>
        <w:pStyle w:val="3"/>
        <w:spacing w:line="280" w:lineRule="exact"/>
        <w:jc w:val="left"/>
        <w:rPr>
          <w:rFonts w:ascii="宋体" w:hAnsi="宋体" w:cs="宋体"/>
          <w:b/>
          <w:bCs/>
        </w:rPr>
      </w:pPr>
      <w:bookmarkStart w:id="18" w:name="_Toc988907"/>
      <w:r>
        <w:rPr>
          <w:rFonts w:ascii="宋体" w:hAnsi="宋体" w:cs="宋体"/>
          <w:b/>
          <w:bCs/>
        </w:rPr>
        <w:t>1、概述</w:t>
      </w:r>
      <w:bookmarkEnd w:id="18"/>
    </w:p>
    <w:p w:rsidR="00E22F4C" w:rsidRDefault="00E22F4C">
      <w:pPr>
        <w:pStyle w:val="a4"/>
        <w:spacing w:before="40" w:beforeAutospacing="0" w:after="40" w:afterAutospacing="0"/>
        <w:divId w:val="79453859"/>
        <w:rPr>
          <w:sz w:val="18"/>
          <w:szCs w:val="18"/>
        </w:rPr>
      </w:pPr>
      <w:r>
        <w:rPr>
          <w:rFonts w:hint="eastAsia"/>
          <w:color w:val="000000"/>
          <w:sz w:val="18"/>
          <w:szCs w:val="18"/>
        </w:rPr>
        <w:t>参见</w:t>
      </w:r>
      <w:r>
        <w:rPr>
          <w:rFonts w:ascii="Times New Roman" w:hAnsi="Times New Roman" w:cs="Times New Roman"/>
          <w:color w:val="000000"/>
          <w:sz w:val="18"/>
          <w:szCs w:val="18"/>
        </w:rPr>
        <w:t>“</w:t>
      </w:r>
      <w:r>
        <w:rPr>
          <w:rFonts w:hint="eastAsia"/>
          <w:color w:val="000000"/>
          <w:sz w:val="18"/>
          <w:szCs w:val="18"/>
        </w:rPr>
        <w:t>二、报告期内公司从事的主要业务</w:t>
      </w:r>
      <w:r>
        <w:rPr>
          <w:rFonts w:ascii="Times New Roman" w:hAnsi="Times New Roman" w:cs="Times New Roman"/>
          <w:color w:val="000000"/>
          <w:sz w:val="18"/>
          <w:szCs w:val="18"/>
        </w:rPr>
        <w:t>”</w:t>
      </w:r>
      <w:r>
        <w:rPr>
          <w:rFonts w:hint="eastAsia"/>
          <w:color w:val="000000"/>
          <w:sz w:val="18"/>
          <w:szCs w:val="18"/>
        </w:rPr>
        <w:t>相关内容。</w:t>
      </w:r>
    </w:p>
    <w:p w:rsidR="00E22F4C" w:rsidRDefault="00381575">
      <w:pPr>
        <w:pStyle w:val="3"/>
        <w:spacing w:line="280" w:lineRule="exact"/>
        <w:jc w:val="left"/>
        <w:rPr>
          <w:rFonts w:ascii="宋体" w:hAnsi="宋体" w:cs="宋体"/>
          <w:b/>
          <w:bCs/>
        </w:rPr>
      </w:pPr>
      <w:bookmarkStart w:id="19" w:name="_Toc988908"/>
      <w:r>
        <w:rPr>
          <w:rFonts w:ascii="宋体" w:hAnsi="宋体" w:cs="宋体"/>
          <w:b/>
          <w:bCs/>
        </w:rPr>
        <w:t>2、收入与成本</w:t>
      </w:r>
      <w:bookmarkEnd w:id="19"/>
    </w:p>
    <w:p w:rsidR="00E22F4C" w:rsidRDefault="00381575">
      <w:pPr>
        <w:keepNext/>
        <w:keepLines/>
        <w:spacing w:before="300" w:after="300" w:line="280" w:lineRule="exact"/>
        <w:outlineLvl w:val="3"/>
        <w:rPr>
          <w:rFonts w:ascii="宋体" w:eastAsia="宋体" w:hAnsi="宋体" w:cs="宋体"/>
          <w:b/>
          <w:bCs/>
          <w:szCs w:val="21"/>
        </w:rPr>
      </w:pPr>
      <w:bookmarkStart w:id="20" w:name="_Toc988909"/>
      <w:r>
        <w:rPr>
          <w:rFonts w:ascii="宋体" w:eastAsia="宋体" w:hAnsi="宋体" w:cs="宋体"/>
          <w:b/>
          <w:bCs/>
          <w:szCs w:val="21"/>
        </w:rPr>
        <w:t>（1） 营业收入构成</w:t>
      </w:r>
      <w:bookmarkEnd w:id="2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7"/>
        <w:gridCol w:w="1606"/>
        <w:gridCol w:w="1607"/>
        <w:gridCol w:w="1607"/>
      </w:tblGrid>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占营业收入比重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占营业收入比重</w:t>
            </w:r>
          </w:p>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营业收入合计</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right"/>
              <w:rPr>
                <w:rFonts w:ascii="宋体" w:eastAsia="宋体" w:hAnsi="宋体" w:cs="宋体"/>
                <w:sz w:val="18"/>
                <w:szCs w:val="18"/>
                <w:shd w:val="clear" w:color="auto" w:fill="D3D3D3"/>
              </w:rPr>
            </w:pPr>
            <w:r>
              <w:rPr>
                <w:rFonts w:ascii="宋体" w:eastAsia="宋体" w:hAnsi="宋体" w:cs="宋体"/>
                <w:sz w:val="18"/>
                <w:szCs w:val="18"/>
                <w:shd w:val="clear" w:color="auto" w:fill="D3D3D3"/>
              </w:rPr>
              <w:t>100%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1,524,401,033.47</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right"/>
              <w:rPr>
                <w:rFonts w:ascii="宋体" w:eastAsia="宋体" w:hAnsi="宋体" w:cs="宋体"/>
                <w:sz w:val="18"/>
                <w:szCs w:val="18"/>
                <w:shd w:val="clear" w:color="auto" w:fill="D3D3D3"/>
              </w:rPr>
            </w:pPr>
            <w:r>
              <w:rPr>
                <w:rFonts w:ascii="宋体" w:eastAsia="宋体" w:hAnsi="宋体" w:cs="宋体"/>
                <w:sz w:val="18"/>
                <w:szCs w:val="18"/>
                <w:shd w:val="clear" w:color="auto" w:fill="D3D3D3"/>
              </w:rPr>
              <w:t>100%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9.78%</w:t>
            </w:r>
          </w:p>
        </w:tc>
      </w:tr>
      <w:tr w:rsidR="00E22F4C">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分行业</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有色金属冶炼和压延加工业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1,524,401,033.47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9.78%</w:t>
            </w:r>
          </w:p>
        </w:tc>
      </w:tr>
      <w:tr w:rsidR="00E22F4C">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分产品</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氧化钨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92,972,012.08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33,887,568.17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174.35%</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钨粉</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83,703,737.81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62,401,596.22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34.14%</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碳化钨粉</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1,184,607,148.00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70.78%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1,162,744,403.37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76.28%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1.88%</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合金粉</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33,263,954.05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5,667,014.40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0.37%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486.97%</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硬质合金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224,961,376.17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197,658,035.37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13.81%</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合金工具</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26,045,643.01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29,012,612.77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-10.23%</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27,999,368.86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33,029,803.17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-15.23%</w:t>
            </w:r>
          </w:p>
        </w:tc>
      </w:tr>
      <w:tr w:rsidR="00E22F4C">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分地区</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1,281,748,999.95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76.59%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1,245,791,545.76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81.72%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2.89%</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391,804,240.03</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23.41%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278,609,487.71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18.28%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40.63%</w:t>
            </w:r>
          </w:p>
        </w:tc>
      </w:tr>
      <w:tr w:rsidR="00E22F4C">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分销售模式</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直销</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1,434,985,848.81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85.74%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1,300,546,759.62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85.32%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10.34%</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经销</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238,567,391.17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14.26%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223,854,273.85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14.68%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6.57%</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21" w:name="_Toc988910"/>
      <w:r>
        <w:rPr>
          <w:rFonts w:ascii="宋体" w:eastAsia="宋体" w:hAnsi="宋体" w:cs="宋体"/>
          <w:b/>
          <w:bCs/>
          <w:sz w:val="18"/>
          <w:szCs w:val="18"/>
        </w:rPr>
        <w:t>（2） 占公司营业收入或营业利润10%以上的行业、产品、地区、销售模式的情况</w:t>
      </w:r>
      <w:bookmarkEnd w:id="2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营业成本</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毛利率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营业成本比上年同期增减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毛利率比上年同期增减</w:t>
            </w:r>
          </w:p>
        </w:tc>
      </w:tr>
      <w:tr w:rsidR="00E22F4C">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分行业</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有色金属冶炼和压延加工业</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1,507,770,002.12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-2.94%</w:t>
            </w:r>
          </w:p>
        </w:tc>
      </w:tr>
      <w:tr w:rsidR="00E22F4C">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分产品</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碳化钨粉</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1,184,607,148.00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1,087,824,051.78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-3.84%</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硬质合金</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224,961,376.17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176,263,043.04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21.65%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21.56%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-4.99%</w:t>
            </w:r>
          </w:p>
        </w:tc>
      </w:tr>
      <w:tr w:rsidR="00E22F4C">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分地区</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1,281,748,999.95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1,163,865,275.04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9.20%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-3.04%</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境外</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391,804,240.03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343,904,727.08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40.63%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46.20%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-3.34%</w:t>
            </w:r>
          </w:p>
        </w:tc>
      </w:tr>
      <w:tr w:rsidR="00E22F4C">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分销售模式</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公司主营业务数据统计口径在报告期发生调整的情况下，公司最近1年按报告期末口径调整后的主营业务数据</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 w:val="18"/>
          <w:szCs w:val="18"/>
        </w:rPr>
      </w:pPr>
      <w:bookmarkStart w:id="22" w:name="_Toc988911"/>
      <w:r>
        <w:rPr>
          <w:rFonts w:ascii="宋体" w:eastAsia="宋体" w:hAnsi="宋体" w:cs="宋体"/>
          <w:b/>
          <w:bCs/>
          <w:sz w:val="18"/>
          <w:szCs w:val="18"/>
        </w:rPr>
        <w:t>（3） 公司实物销售收入是否大于劳务收入</w:t>
      </w:r>
      <w:bookmarkEnd w:id="2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行业分类</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有色金属冶炼和压延加工业--APT</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4,008.85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2,970.65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34.95%</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766.51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838.0412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-8.54%</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有色金属冶炼和压延加工业--氧化钨粉</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515.08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217.964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136.31%</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7,704.65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7,228.16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6.59%</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244.42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159.2211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53.51%</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有色金属冶炼和压延加工业--钨粉</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354.29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306.9378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15.43%</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5,756.90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6,088.25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-5.44%</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106.81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175.0202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-38.97%</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有色金属冶炼和压延加工业--碳化钨粉</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5,090.07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5,804.82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-12.31%</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5,861.76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6,131.21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380.42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516.3082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-26.32%</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有色金属冶炼和压延加工业--合金粉</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132.28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26.5219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398.74%</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160.85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25.5219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530.26%</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28.58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有色金属冶炼和压延加工业--硬质合金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681.42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694.936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-1.95%</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785.51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973.5312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-19.31%</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149.22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129.375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15.34%</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相关数据同比发生变动30%以上的原因说明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1</w:t>
      </w:r>
      <w:r>
        <w:rPr>
          <w:rFonts w:cs="Calibri" w:hint="eastAsia"/>
          <w:sz w:val="18"/>
          <w:szCs w:val="18"/>
        </w:rPr>
        <w:t>、</w:t>
      </w:r>
      <w:r>
        <w:rPr>
          <w:rFonts w:ascii="Calibri" w:hAnsi="Calibri" w:cs="Calibri"/>
          <w:sz w:val="18"/>
          <w:szCs w:val="18"/>
        </w:rPr>
        <w:t>APT:</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销售量：同比增长</w:t>
      </w:r>
      <w:r>
        <w:rPr>
          <w:rFonts w:ascii="Calibri" w:hAnsi="Calibri" w:cs="Calibri"/>
          <w:sz w:val="18"/>
          <w:szCs w:val="18"/>
        </w:rPr>
        <w:t>100%</w:t>
      </w:r>
      <w:r>
        <w:rPr>
          <w:rFonts w:cs="Calibri" w:hint="eastAsia"/>
          <w:sz w:val="18"/>
          <w:szCs w:val="18"/>
        </w:rPr>
        <w:t>，主要系销售占比基数小</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生产量：同比增长</w:t>
      </w:r>
      <w:r>
        <w:rPr>
          <w:rFonts w:ascii="Calibri" w:hAnsi="Calibri" w:cs="Calibri"/>
          <w:sz w:val="18"/>
          <w:szCs w:val="18"/>
        </w:rPr>
        <w:t>34.95%</w:t>
      </w:r>
      <w:r>
        <w:rPr>
          <w:rFonts w:cs="Calibri" w:hint="eastAsia"/>
          <w:sz w:val="18"/>
          <w:szCs w:val="18"/>
        </w:rPr>
        <w:t>，行业初级产品亦为公司基础原材料，公司减少对外采购，加大自主生产</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库存量：无重大变动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2</w:t>
      </w:r>
      <w:r>
        <w:rPr>
          <w:rFonts w:cs="Calibri" w:hint="eastAsia"/>
          <w:sz w:val="18"/>
          <w:szCs w:val="18"/>
        </w:rPr>
        <w:t>、氧化钨</w:t>
      </w:r>
      <w:r>
        <w:rPr>
          <w:rFonts w:ascii="Calibri" w:hAnsi="Calibri" w:cs="Calibri"/>
          <w:sz w:val="18"/>
          <w:szCs w:val="18"/>
        </w:rPr>
        <w:t>:</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销售量：同比增长</w:t>
      </w:r>
      <w:r>
        <w:rPr>
          <w:rFonts w:ascii="Calibri" w:hAnsi="Calibri" w:cs="Calibri"/>
          <w:sz w:val="18"/>
          <w:szCs w:val="18"/>
        </w:rPr>
        <w:t>136.31%</w:t>
      </w:r>
      <w:r>
        <w:rPr>
          <w:rFonts w:cs="Calibri" w:hint="eastAsia"/>
          <w:sz w:val="18"/>
          <w:szCs w:val="18"/>
        </w:rPr>
        <w:t>，系订单量增长所致</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生产量：无重大变动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库存量：同比增长</w:t>
      </w:r>
      <w:r>
        <w:rPr>
          <w:rFonts w:ascii="Calibri" w:hAnsi="Calibri" w:cs="Calibri"/>
          <w:sz w:val="18"/>
          <w:szCs w:val="18"/>
        </w:rPr>
        <w:t>53.51%</w:t>
      </w:r>
      <w:r>
        <w:rPr>
          <w:rFonts w:cs="Calibri" w:hint="eastAsia"/>
          <w:sz w:val="18"/>
          <w:szCs w:val="18"/>
        </w:rPr>
        <w:t>，中间产品库存流转，氧化钨、钨粉合计库存量与上年度接近</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3</w:t>
      </w:r>
      <w:r>
        <w:rPr>
          <w:rFonts w:cs="Calibri" w:hint="eastAsia"/>
          <w:sz w:val="18"/>
          <w:szCs w:val="18"/>
        </w:rPr>
        <w:t>、钨粉：</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销售量：无重大变动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生产量：无重大变动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库存量：同比下降</w:t>
      </w:r>
      <w:r>
        <w:rPr>
          <w:rFonts w:ascii="Calibri" w:hAnsi="Calibri" w:cs="Calibri"/>
          <w:sz w:val="18"/>
          <w:szCs w:val="18"/>
        </w:rPr>
        <w:t>38.97%</w:t>
      </w:r>
      <w:r>
        <w:rPr>
          <w:rFonts w:cs="Calibri" w:hint="eastAsia"/>
          <w:sz w:val="18"/>
          <w:szCs w:val="18"/>
        </w:rPr>
        <w:t>，中间产品库存流转，氧化钨、钨粉合计库存量与上年度接近</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4</w:t>
      </w:r>
      <w:r>
        <w:rPr>
          <w:rFonts w:cs="Calibri" w:hint="eastAsia"/>
          <w:sz w:val="18"/>
          <w:szCs w:val="18"/>
        </w:rPr>
        <w:t>、碳化钨粉：</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销售量：无重大变动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生产量：无重大变动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库存量：</w:t>
      </w:r>
      <w:r>
        <w:rPr>
          <w:rFonts w:ascii="Calibri" w:hAnsi="Calibri" w:cs="Calibri"/>
          <w:sz w:val="18"/>
          <w:szCs w:val="18"/>
        </w:rPr>
        <w:t>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5</w:t>
      </w:r>
      <w:r>
        <w:rPr>
          <w:rFonts w:cs="Calibri" w:hint="eastAsia"/>
          <w:sz w:val="18"/>
          <w:szCs w:val="18"/>
        </w:rPr>
        <w:t>、合金粉：</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销售量：同比增长</w:t>
      </w:r>
      <w:r>
        <w:rPr>
          <w:rFonts w:ascii="Calibri" w:hAnsi="Calibri" w:cs="Calibri"/>
          <w:sz w:val="18"/>
          <w:szCs w:val="18"/>
        </w:rPr>
        <w:t>398.74%</w:t>
      </w:r>
      <w:r>
        <w:rPr>
          <w:rFonts w:cs="Calibri" w:hint="eastAsia"/>
          <w:sz w:val="18"/>
          <w:szCs w:val="18"/>
        </w:rPr>
        <w:t>，主要系销售占比小，基数小，订单量增加，变动影响大</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生产量：同比增长</w:t>
      </w:r>
      <w:r>
        <w:rPr>
          <w:rFonts w:ascii="Calibri" w:hAnsi="Calibri" w:cs="Calibri"/>
          <w:sz w:val="18"/>
          <w:szCs w:val="18"/>
        </w:rPr>
        <w:t>530.26%</w:t>
      </w:r>
      <w:r>
        <w:rPr>
          <w:rFonts w:cs="Calibri" w:hint="eastAsia"/>
          <w:sz w:val="18"/>
          <w:szCs w:val="18"/>
        </w:rPr>
        <w:t>，与销售同比增加</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库存量：同比增长</w:t>
      </w:r>
      <w:r>
        <w:rPr>
          <w:rFonts w:ascii="Calibri" w:hAnsi="Calibri" w:cs="Calibri"/>
          <w:sz w:val="18"/>
          <w:szCs w:val="18"/>
        </w:rPr>
        <w:t>100%</w:t>
      </w:r>
      <w:r>
        <w:rPr>
          <w:rFonts w:cs="Calibri" w:hint="eastAsia"/>
          <w:sz w:val="18"/>
          <w:szCs w:val="18"/>
        </w:rPr>
        <w:t>，基数小，变动影响大</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6、硬质合金</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销售量：无重大变动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18"/>
          <w:szCs w:val="18"/>
        </w:rPr>
        <w:t>生产量：无重大变动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cs="Calibri" w:hint="eastAsia"/>
          <w:sz w:val="18"/>
          <w:szCs w:val="18"/>
        </w:rPr>
        <w:t>库存量：</w:t>
      </w:r>
      <w:r>
        <w:rPr>
          <w:rFonts w:ascii="Calibri" w:hAnsi="Calibri" w:cs="Calibri"/>
          <w:sz w:val="18"/>
          <w:szCs w:val="18"/>
        </w:rPr>
        <w:t>无重大变动</w:t>
      </w:r>
    </w:p>
    <w:p w:rsidR="00E22F4C" w:rsidRDefault="00E22F4C">
      <w:pPr>
        <w:pStyle w:val="a4"/>
        <w:spacing w:before="0" w:beforeAutospacing="0" w:after="0" w:afterAutospacing="0"/>
        <w:jc w:val="both"/>
        <w:divId w:val="1833328103"/>
        <w:rPr>
          <w:rFonts w:ascii="Calibri" w:hAnsi="Calibri" w:cs="Calibri"/>
          <w:sz w:val="21"/>
          <w:szCs w:val="21"/>
        </w:rPr>
      </w:pPr>
      <w:r>
        <w:rPr>
          <w:rFonts w:ascii="Calibri" w:hAnsi="Calibri" w:cs="Calibri"/>
          <w:sz w:val="21"/>
          <w:szCs w:val="21"/>
        </w:rPr>
        <w:t> </w:t>
      </w:r>
    </w:p>
    <w:p w:rsidR="00E22F4C" w:rsidRDefault="00381575">
      <w:pPr>
        <w:keepNext/>
        <w:keepLines/>
        <w:spacing w:before="300" w:after="300" w:line="280" w:lineRule="exact"/>
        <w:outlineLvl w:val="3"/>
        <w:rPr>
          <w:rFonts w:ascii="宋体" w:eastAsia="宋体" w:hAnsi="宋体" w:cs="宋体"/>
          <w:b/>
          <w:bCs/>
          <w:sz w:val="18"/>
          <w:szCs w:val="18"/>
        </w:rPr>
      </w:pPr>
      <w:bookmarkStart w:id="23" w:name="_Toc988912"/>
      <w:r>
        <w:rPr>
          <w:rFonts w:ascii="宋体" w:eastAsia="宋体" w:hAnsi="宋体" w:cs="宋体"/>
          <w:b/>
          <w:bCs/>
          <w:sz w:val="18"/>
          <w:szCs w:val="18"/>
        </w:rPr>
        <w:t>（4） 公司已签订的重大销售合同、重大采购合同截至本报告期的履行情况</w:t>
      </w:r>
      <w:bookmarkEnd w:id="2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 w:val="18"/>
          <w:szCs w:val="18"/>
        </w:rPr>
      </w:pPr>
      <w:bookmarkStart w:id="24" w:name="_Toc988913"/>
      <w:r>
        <w:rPr>
          <w:rFonts w:ascii="宋体" w:eastAsia="宋体" w:hAnsi="宋体" w:cs="宋体"/>
          <w:b/>
          <w:bCs/>
          <w:sz w:val="18"/>
          <w:szCs w:val="18"/>
        </w:rPr>
        <w:lastRenderedPageBreak/>
        <w:t>（5） 营业成本构成</w:t>
      </w:r>
      <w:bookmarkEnd w:id="24"/>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产品分类</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产品分类</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产品分类</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占营业成本比重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占营业成本比重</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7C0AE3" w:rsidTr="00224443">
        <w:trPr>
          <w:trHeight w:val="240"/>
        </w:trPr>
        <w:tc>
          <w:tcPr>
            <w:tcW w:w="1377" w:type="dxa"/>
            <w:vMerge w:val="restart"/>
            <w:tcBorders>
              <w:top w:val="single" w:sz="2" w:space="0" w:color="auto"/>
              <w:left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碳化钨粉</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1,066,829,044.11</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63.75%</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1,002,448,988.68</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66.49%</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-2.74%</w:t>
            </w:r>
          </w:p>
        </w:tc>
      </w:tr>
      <w:tr w:rsidR="007C0AE3" w:rsidTr="00224443">
        <w:trPr>
          <w:trHeight w:val="240"/>
        </w:trPr>
        <w:tc>
          <w:tcPr>
            <w:tcW w:w="1377" w:type="dxa"/>
            <w:vMerge/>
            <w:tcBorders>
              <w:left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人工</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4,990,937.31</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0.30%</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5,352,207.47</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0.35%</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-0.05%</w:t>
            </w:r>
          </w:p>
        </w:tc>
      </w:tr>
      <w:tr w:rsidR="007C0AE3" w:rsidTr="00224443">
        <w:trPr>
          <w:trHeight w:val="240"/>
        </w:trPr>
        <w:tc>
          <w:tcPr>
            <w:tcW w:w="1377" w:type="dxa"/>
            <w:vMerge/>
            <w:tcBorders>
              <w:left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燃料动力</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6,681,381.65</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0.40%</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6,951,545.02</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0.46%</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-0.06%</w:t>
            </w:r>
          </w:p>
        </w:tc>
      </w:tr>
      <w:tr w:rsidR="007C0AE3" w:rsidTr="00224443">
        <w:trPr>
          <w:trHeight w:val="240"/>
        </w:trPr>
        <w:tc>
          <w:tcPr>
            <w:tcW w:w="1377" w:type="dxa"/>
            <w:vMerge/>
            <w:tcBorders>
              <w:left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制造费用</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9,322,688.71</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0.56%</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8,314,286.78</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0.55%</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-0.01%</w:t>
            </w:r>
          </w:p>
        </w:tc>
      </w:tr>
      <w:tr w:rsidR="007C0AE3" w:rsidTr="00224443">
        <w:trPr>
          <w:trHeight w:val="240"/>
        </w:trPr>
        <w:tc>
          <w:tcPr>
            <w:tcW w:w="1377" w:type="dxa"/>
            <w:vMerge/>
            <w:tcBorders>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1,087,824,051.78</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65.00%</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1,023,067,027.95</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67.85%</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-2.85%</w:t>
            </w:r>
          </w:p>
        </w:tc>
      </w:tr>
      <w:tr w:rsidR="007C0AE3" w:rsidTr="00087A44">
        <w:trPr>
          <w:trHeight w:val="240"/>
        </w:trPr>
        <w:tc>
          <w:tcPr>
            <w:tcW w:w="1377" w:type="dxa"/>
            <w:vMerge w:val="restart"/>
            <w:tcBorders>
              <w:top w:val="single" w:sz="2" w:space="0" w:color="auto"/>
              <w:left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硬质合金</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162,184,074.91</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9.69%</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124,467,853.90</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8.26%</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-1.43%</w:t>
            </w:r>
          </w:p>
        </w:tc>
      </w:tr>
      <w:tr w:rsidR="007C0AE3" w:rsidTr="00087A44">
        <w:trPr>
          <w:trHeight w:val="240"/>
        </w:trPr>
        <w:tc>
          <w:tcPr>
            <w:tcW w:w="1377" w:type="dxa"/>
            <w:vMerge/>
            <w:tcBorders>
              <w:left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人工</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4,490,617.74</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0.27%</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7,772,407.04</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0.52%</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-0.25%</w:t>
            </w:r>
          </w:p>
        </w:tc>
      </w:tr>
      <w:tr w:rsidR="007C0AE3" w:rsidTr="00087A44">
        <w:trPr>
          <w:trHeight w:val="240"/>
        </w:trPr>
        <w:tc>
          <w:tcPr>
            <w:tcW w:w="1377" w:type="dxa"/>
            <w:vMerge/>
            <w:tcBorders>
              <w:left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燃料动力</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1,390,471.49</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0.08%</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1,725,523.81</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0.11%</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-0.03%</w:t>
            </w:r>
          </w:p>
        </w:tc>
      </w:tr>
      <w:tr w:rsidR="007C0AE3" w:rsidTr="00087A44">
        <w:trPr>
          <w:trHeight w:val="240"/>
        </w:trPr>
        <w:tc>
          <w:tcPr>
            <w:tcW w:w="1377" w:type="dxa"/>
            <w:vMerge/>
            <w:tcBorders>
              <w:left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制造费用</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8,197,878.90</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0.49%</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11,037,568.34</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0.73%</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-0.24%</w:t>
            </w:r>
          </w:p>
        </w:tc>
      </w:tr>
      <w:tr w:rsidR="007C0AE3" w:rsidTr="00087A44">
        <w:trPr>
          <w:trHeight w:val="240"/>
        </w:trPr>
        <w:tc>
          <w:tcPr>
            <w:tcW w:w="1377" w:type="dxa"/>
            <w:vMerge/>
            <w:tcBorders>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176,263,043.04</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10.53%</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145,003,353.09</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9.62%</w:t>
            </w:r>
          </w:p>
        </w:tc>
        <w:tc>
          <w:tcPr>
            <w:tcW w:w="1377" w:type="dxa"/>
            <w:tcBorders>
              <w:top w:val="single" w:sz="2" w:space="0" w:color="auto"/>
              <w:left w:val="single" w:sz="2" w:space="0" w:color="auto"/>
              <w:bottom w:val="single" w:sz="2" w:space="0" w:color="auto"/>
              <w:right w:val="single" w:sz="2" w:space="0" w:color="auto"/>
            </w:tcBorders>
            <w:vAlign w:val="center"/>
          </w:tcPr>
          <w:p w:rsidR="007C0AE3" w:rsidRDefault="007C0AE3">
            <w:pPr>
              <w:spacing w:line="240" w:lineRule="exact"/>
              <w:jc w:val="right"/>
              <w:rPr>
                <w:rFonts w:ascii="宋体" w:eastAsia="宋体" w:hAnsi="宋体" w:cs="宋体"/>
                <w:sz w:val="18"/>
                <w:szCs w:val="18"/>
              </w:rPr>
            </w:pPr>
            <w:r>
              <w:rPr>
                <w:rFonts w:ascii="宋体" w:eastAsia="宋体" w:hAnsi="宋体" w:cs="宋体"/>
                <w:sz w:val="18"/>
                <w:szCs w:val="18"/>
              </w:rPr>
              <w:t>0.91%</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说明</w:t>
      </w:r>
    </w:p>
    <w:p w:rsidR="00E22F4C" w:rsidRDefault="00E22F4C">
      <w:pPr>
        <w:pStyle w:val="a4"/>
        <w:divId w:val="1499031118"/>
        <w:rPr>
          <w:sz w:val="18"/>
          <w:szCs w:val="18"/>
        </w:rPr>
      </w:pPr>
      <w:r>
        <w:rPr>
          <w:rFonts w:hint="eastAsia"/>
          <w:sz w:val="18"/>
          <w:szCs w:val="18"/>
        </w:rPr>
        <w:t>无</w:t>
      </w:r>
    </w:p>
    <w:p w:rsidR="00E22F4C" w:rsidRDefault="00381575">
      <w:pPr>
        <w:keepNext/>
        <w:keepLines/>
        <w:spacing w:before="300" w:after="300" w:line="280" w:lineRule="exact"/>
        <w:outlineLvl w:val="3"/>
        <w:rPr>
          <w:rFonts w:ascii="宋体" w:eastAsia="宋体" w:hAnsi="宋体" w:cs="宋体"/>
          <w:b/>
          <w:bCs/>
          <w:sz w:val="18"/>
          <w:szCs w:val="18"/>
        </w:rPr>
      </w:pPr>
      <w:bookmarkStart w:id="25" w:name="_Toc988914"/>
      <w:r>
        <w:rPr>
          <w:rFonts w:ascii="宋体" w:eastAsia="宋体" w:hAnsi="宋体" w:cs="宋体"/>
          <w:b/>
          <w:bCs/>
          <w:sz w:val="18"/>
          <w:szCs w:val="18"/>
        </w:rPr>
        <w:t>（6） 报告期内合并范围是否发生变动</w:t>
      </w:r>
      <w:bookmarkEnd w:id="2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keepNext/>
        <w:keepLines/>
        <w:spacing w:before="300" w:after="300" w:line="280" w:lineRule="exact"/>
        <w:outlineLvl w:val="3"/>
        <w:rPr>
          <w:rFonts w:ascii="宋体" w:eastAsia="宋体" w:hAnsi="宋体" w:cs="宋体"/>
          <w:b/>
          <w:bCs/>
          <w:sz w:val="18"/>
          <w:szCs w:val="18"/>
        </w:rPr>
      </w:pPr>
      <w:bookmarkStart w:id="26" w:name="_Toc988915"/>
      <w:r>
        <w:rPr>
          <w:rFonts w:ascii="宋体" w:eastAsia="宋体" w:hAnsi="宋体" w:cs="宋体"/>
          <w:b/>
          <w:bCs/>
          <w:sz w:val="18"/>
          <w:szCs w:val="18"/>
        </w:rPr>
        <w:t>（7） 公司报告期内业务、产品或服务发生重大变化或调整有关情况</w:t>
      </w:r>
      <w:bookmarkEnd w:id="2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 w:val="18"/>
          <w:szCs w:val="18"/>
        </w:rPr>
      </w:pPr>
      <w:bookmarkStart w:id="27" w:name="_Toc988916"/>
      <w:r>
        <w:rPr>
          <w:rFonts w:ascii="宋体" w:eastAsia="宋体" w:hAnsi="宋体" w:cs="宋体"/>
          <w:b/>
          <w:bCs/>
          <w:sz w:val="18"/>
          <w:szCs w:val="18"/>
        </w:rPr>
        <w:t>（8） 主要销售客户和主要供应商情况</w:t>
      </w:r>
      <w:bookmarkEnd w:id="2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公司主要销售客户情况</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前五名客户合计销售金额（元）</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575,274,081.27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前五名客户合计销售金额占年度销售总额比例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34.37%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前五名客户销售额中关联方销售额占年度销售总额比例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公司前5大客户资料</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客户名称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销售额（元）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占年度销售总额比例</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140,063,630.12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8.37%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127,839,785.84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127,242,479.35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101,877,256.66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6.09%</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78,250,929.30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4.68%</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575,274,081.27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34.37%</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主要客户其他情况说明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公司主要供应商情况</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前五名供应商合计采购金额（元）</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889,495,916.27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前五名供应商合计采购金额占年度采购总额比例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66.06%</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前五名供应商采购额中关联方采购额占年度采购总额比例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公司前5名供应商资料</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供应商名称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采购额（元）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占年度采购总额比例</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320,295,797.07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23.79%</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305,070,951.27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22.66%</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102,003,929.19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7.58%</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92,748,247.62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6.89%</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69,376,991.12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5.15%</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889,495,916.27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66.06%</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主要供应商其他情况说明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28" w:name="_Toc988917"/>
      <w:r>
        <w:rPr>
          <w:rFonts w:ascii="宋体" w:hAnsi="宋体" w:cs="宋体"/>
          <w:b/>
          <w:bCs/>
        </w:rPr>
        <w:t>3、费用</w:t>
      </w:r>
      <w:bookmarkEnd w:id="2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重大变动说明</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销售费用</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6,835,542.52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5,914,163.38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管理费用</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66,652,461.69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56,023,393.84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18.97%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财务费用</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42,744,577.71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43,491,711.32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研发费用</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66,835,116.01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67,535,701.61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bl>
    <w:p w:rsidR="00E22F4C" w:rsidRDefault="00381575">
      <w:pPr>
        <w:pStyle w:val="3"/>
        <w:spacing w:line="280" w:lineRule="exact"/>
        <w:jc w:val="left"/>
        <w:rPr>
          <w:rFonts w:ascii="宋体" w:hAnsi="宋体" w:cs="宋体"/>
          <w:b/>
          <w:bCs/>
        </w:rPr>
      </w:pPr>
      <w:bookmarkStart w:id="29" w:name="_Toc988918"/>
      <w:r>
        <w:rPr>
          <w:rFonts w:ascii="宋体" w:hAnsi="宋体" w:cs="宋体"/>
          <w:b/>
          <w:bCs/>
        </w:rPr>
        <w:t>4、研发投入</w:t>
      </w:r>
      <w:bookmarkEnd w:id="2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主要研发项目名称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项目目的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项目进展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拟达到的目标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预计对公司未来发展的影响</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硬质合金废料回收工艺研究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创新应用，优化提高。</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对块状合金废料选用合适的设备破碎，分离钨和钴，进行回收加工利用，减少能源消耗，降低生产成本。</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提高公司对资源的回收利用率，丰富公司原料渠道，降低生产成本，本项目获得发明专利：制备硬质合金产生的回收料的处理方法</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降低仲钨酸铵中钾钠含量工艺研究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创新应用，优化提高。</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降低仲钨酸铵中钾钠含量，稳定控制在5ppm以内，提高产品品质。</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提高产品的加工性能和使用性能，提高产品品质，提高经济效益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1000吨特种粉末气流分级提质技改项目</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创新应用，优化提高。</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引进纯氮气气流破碎设备技术，提高生产效率，节约设备和人力成本</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提高产品质量，降低生产成本，提高经济效益，获得名优高新技术产品：高切削刀</w:t>
            </w:r>
            <w:r>
              <w:rPr>
                <w:rFonts w:ascii="宋体" w:eastAsia="宋体" w:hAnsi="宋体" w:cs="宋体"/>
                <w:sz w:val="18"/>
                <w:szCs w:val="18"/>
              </w:rPr>
              <w:lastRenderedPageBreak/>
              <w:t>具用XLWC08S碳化钨</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1500吨钨粉碳化钨粉生产线自动化、智能化技术改造项目</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创新应用，优化提高。</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对现有设备进行自动化和智能化改造，以规避人工操作的不稳定性，提高产品质量的可靠性，同时可以大幅节约人工，提高生产效率。</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提高产品品质和生产效率</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挤压Φ16-Φ20大直径棒材挤压工艺开发</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创新应用，优化提高。</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模具创新和工艺创新，减少人工切割端头料步骤，提高生产效率。</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可以更好的控制产品尺寸，提高产品的产出率和质量，降低生产成本，提高经济效益，本项目获得发明专利：硬质合金掺胶混合料压制压力的检测设备及其使用方法</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深加工无心磨串线工艺开发</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创新应用，优化提高。</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用高精密无心磨床串联的方式进行产品的加工提升工艺效率。</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提高生产效率，降低产品质量风险。</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光伏用超细钨丝生产工艺研究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创新应用，优化提高。</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未完成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调整最佳的钨粉混合比例，压制钨条，旋锻开坯、粗钨丝生产工艺，研发生产出超细钨丝。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开发新产品，抢占市场份额，提高经济效益。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混晶组织结构的碳化钨硬质合金制备方法的研究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项目通过将不同粒径的碳化钨进行配比混料，压制成型后再进行压力烧结，获得同时具备高的断裂韧性和硬度的混晶硬质合金。</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（1）在固定比例的细晶WC-Co中，加入不同粒径的粗晶碳化钨，探讨细晶WC-Co硬质合金中添加最适粗颗粒尺寸；（2）在步骤（1）的基础上，加入不同比例的粗颗粒，探讨最佳粗细碳化钨配比。</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丰富公司硬质合金产品类别，提升公司整体产品技术服务。</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用亚细碳化钨制备超细硬质合金工艺的研究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项目通过将亚细碳化钨进行高能球磨后再配钴混料，压制成型后进行热压烧结，获得超细硬质合金。</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高能球磨步骤，将亚细碳化钨和抑制剂进行球磨，探讨最适球磨工艺和抑制剂最佳添加量；（2）把步骤（1）制备的粉末与钴粉配比后继续球磨混料，成型后进行热压烧结处理，探讨烧结工艺对硬质合金的影响。</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降低了超细硬质合金产品原料成本，提高经济效益。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均匀细晶钨棒材制备方法的研究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项目通过将掺杂蓝钨制备，掺杂钨粉制备，压制、中频烧结、热轧等关键性步骤制备晶粒组织均匀、再结晶温度高、抗高温蠕变性能好的细晶钨棒材。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（1）将蓝钨粉与稀土硝酸盐、氢氧化钾水溶液进行固液掺杂，干燥完成后，制备掺杂蓝钨；（2）将掺杂蓝钨进行氢还原处理，制备粒度均匀的掺杂钨粉；（3） 将钨粉压制成型后进行中频烧结、热轧处理。</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提高钨产品质量，提升后续钨丝成品率，降低生产成本，提高经济效益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溶液掺杂技术制备高均匀性粗晶碳化钨粉</w:t>
            </w:r>
            <w:r>
              <w:rPr>
                <w:rFonts w:ascii="宋体" w:eastAsia="宋体" w:hAnsi="宋体" w:cs="宋体"/>
                <w:sz w:val="18"/>
                <w:szCs w:val="18"/>
              </w:rPr>
              <w:lastRenderedPageBreak/>
              <w:t>体的研究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项目通过将原料钨粉进行超声波分散及分</w:t>
            </w:r>
            <w:r>
              <w:rPr>
                <w:rFonts w:ascii="宋体" w:eastAsia="宋体" w:hAnsi="宋体" w:cs="宋体"/>
                <w:sz w:val="18"/>
                <w:szCs w:val="18"/>
              </w:rPr>
              <w:lastRenderedPageBreak/>
              <w:t>级过筛，选分级好的钨粉进行掺杂处理，在加炭黑后进行高温碳化，得到均匀粗晶碳化钨粉末。</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（1）原料预处理步骤：将原料钨粉进行</w:t>
            </w:r>
            <w:r>
              <w:rPr>
                <w:rFonts w:ascii="宋体" w:eastAsia="宋体" w:hAnsi="宋体" w:cs="宋体"/>
                <w:sz w:val="18"/>
                <w:szCs w:val="18"/>
              </w:rPr>
              <w:lastRenderedPageBreak/>
              <w:t>超声波分散及分级过筛，取分级后钨粉进行掺杂处理，得到预处理后的钨粉；（2）碳化钨粉制备步骤：将步骤（1）中的预处理后钨粉加碳黑混合进行碳化处理，得到均匀粗晶碳化钨粉末；</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进一步拓宽公司粉末产品类别，提升超粗</w:t>
            </w:r>
            <w:r>
              <w:rPr>
                <w:rFonts w:ascii="宋体" w:eastAsia="宋体" w:hAnsi="宋体" w:cs="宋体"/>
                <w:sz w:val="18"/>
                <w:szCs w:val="18"/>
              </w:rPr>
              <w:lastRenderedPageBreak/>
              <w:t>粉末产品质量，提升公司品牌知名度，创造更高经济效益。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高纯度等轴纳米碳化钨粉末制备方法的研究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项目通过将细颗粒钨粉氧化成细颗粒三氧化钨，再同一定比例碳黑混合后碳化成高纯度、纳米级粒径的等轴晶碳化钨粉末。</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原料预处理步骤：将原料钨粉在回转炉中进行氧化，氧化完全后进行筛分分级，得到预处理后的超细颗粒氧化钨；（2）碳化钨钨粉制备步骤：将步骤（1）中的预处理后氧化钨与一定比例炭黑混合后进行碳化；</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进一步拓宽公司粉末产品类别，提升超细碳化钨粉末产品质量，提升公司品牌知名度，创造更高经济效益。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纳米层片状碳化钨多晶粉末及其制备方法的研究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项目通过将原料钨粉通过等离子体喷射高温熔融后成片状高活性钨粉，与超细活性炭混合碳化生成纳米层片状碳化钨多晶粉末。</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（1）原料预处理步骤：将原料钨粉通过等离子体喷射高温熔融，得到预处理后的成纳米层片状高活性钨粉；（2）钨粉制备步骤：将步骤（1）中的预处理后钨粉与超细活性炭混合进行碳化处理；</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进一步拓宽公司粉末产品类别，提升超细碳化钨粉末产品质量，提升公司品牌知名度，创造更高经济效益。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连续动态还原钨粉制备超细碳化钨工艺的研究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项目通过将回转炉动态还原钨粉，经超声波分散及分级过筛，选分级好的均匀分散钨粉，加炭黑混合后进行碳化反应，获得均匀分散超细碳化钨粉末。</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（1）原料预处理步骤：将氧化钨在回转还原炉进行动态还原处理，得到动态还原钨粉再进行超声波分散及分级过筛，取分级后钨粉；（2）碳化粉制备步骤：将步骤（1）中的预处理后钨粉进行碳化处理；</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降低超细碳化钨粉生产成本，提升超细颗粒碳化钨产品质量的稳定性，提高经济效益。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多面体亚微米钨粉的制备方法的研究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项目通过将氧化钨进行破碎处理后经超声波分散及分级过筛，选分级好的氧化钨，在还原气氛下进行还原反应。</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（1）原料预处理步骤：将氧化钨进行球磨破碎，破碎后经超声波分散及分级过筛，得到预处理后的氧化钨；（2）钨粉制备步骤：将步骤（1）中的预处理后氧化钨进行还原得到亚微米钨粉；</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进一步拓宽公司粉末产品类别，提升公司品牌知名度，创造更高经济效益。</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团簇结构高纯微纳钨粉的制备方法的研究</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项目通过将氧化钨进行破碎后添加表面活性剂进行混合得到团簇结构氧化钨，在还原气氛下进行还原反应，获得团簇结构高纯微纳钨粉末。</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（1）原料预处理步骤：将氧化钨进行球磨破碎后，添加表面活性剂进行混合，得到预处理后的氧化钨；（2）钨粉制备步骤：将步骤（1）中的预处</w:t>
            </w:r>
            <w:r>
              <w:rPr>
                <w:rFonts w:ascii="宋体" w:eastAsia="宋体" w:hAnsi="宋体" w:cs="宋体"/>
                <w:sz w:val="18"/>
                <w:szCs w:val="18"/>
              </w:rPr>
              <w:lastRenderedPageBreak/>
              <w:t>理后氧化钨进行还原处理；</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进一步拓宽公司粉末产品类别，提升公司品牌知名度，创造更高经济效益。</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公司研发人员情况</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变动比例</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研发人员数量（人）</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11.92%</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研发人员数量占比</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18.86%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15.84%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3.02%</w:t>
            </w:r>
          </w:p>
        </w:tc>
      </w:tr>
      <w:tr w:rsidR="00E22F4C">
        <w:trPr>
          <w:trHeight w:val="2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研发人员学历结构</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本科</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41.07%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硕士</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本科以下学历</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-7.69%</w:t>
            </w:r>
          </w:p>
        </w:tc>
      </w:tr>
      <w:tr w:rsidR="00E22F4C">
        <w:trPr>
          <w:trHeight w:val="2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研发人员年龄构成</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30岁以下</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36.84%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30~40岁</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21.67%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40岁以上</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-47.06%</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公司研发投入情况</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变动比例</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研发投入金额（元）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66,835,116.01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67,535,701.61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研发投入占营业收入比例</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-0.44%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研发投入资本化的金额（元）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资本化研发投入占研发投入的比例</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公司研发人员构成发生重大变化的原因及影响</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□适用 □不适用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研发投入总额占营业收入的比重较上年发生显著变化的原因</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研发投入资本化率大幅变动的原因及其合理性说明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30" w:name="_Toc988919"/>
      <w:r>
        <w:rPr>
          <w:rFonts w:ascii="宋体" w:hAnsi="宋体" w:cs="宋体"/>
          <w:b/>
          <w:bCs/>
        </w:rPr>
        <w:t>5、现金流</w:t>
      </w:r>
      <w:bookmarkEnd w:id="3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经营活动现金流入小计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1,779,482,445.58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1,584,079,159.94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经营活动现金流出小计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1,720,622,006.33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1,553,006,758.34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10.79%</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58,860,439.25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31,072,401.60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89.43%</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投资活动现金流入小计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788,785.08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118,438,127.59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-99.33%</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投资活动现金流出小计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46,358,619.84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86,165,114.06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-46.20%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投资活动产生的现金流量净额</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-45,569,834.76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32,273,013.53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-241.20%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筹资活动现金流入小计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558,785,000.00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880,388,050.00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-36.53%</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筹资活动现金流出小计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649,398,175.31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932,122,588.52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-30.33%</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筹资活动产生的现金流量净</w:t>
            </w:r>
            <w:r>
              <w:rPr>
                <w:rFonts w:ascii="宋体" w:eastAsia="宋体" w:hAnsi="宋体" w:cs="宋体"/>
                <w:sz w:val="18"/>
                <w:szCs w:val="18"/>
              </w:rPr>
              <w:lastRenderedPageBreak/>
              <w:t>额</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-90,613,175.31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-51,734,538.52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-75.15%</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现金及现金等价物净增加额</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-70,096,568.62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10,690,167.32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-755.71%</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相关数据同比发生重大变动的主要影响因素说明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经营活动现金流入小计：无重大变动；</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经营活动现金流出小计：无重大变动；</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经营活动产生的现金流量净额：较去年同期增加</w:t>
      </w:r>
      <w:r>
        <w:rPr>
          <w:rFonts w:ascii="Calibri" w:hAnsi="Calibri" w:cs="Calibri"/>
          <w:sz w:val="18"/>
          <w:szCs w:val="18"/>
        </w:rPr>
        <w:t>89.43%</w:t>
      </w:r>
      <w:r>
        <w:rPr>
          <w:rFonts w:cs="Calibri" w:hint="eastAsia"/>
          <w:sz w:val="18"/>
          <w:szCs w:val="18"/>
        </w:rPr>
        <w:t>，主要系增加解押保证金及收到留抵退税款；</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投资活动现金流入小计：较去年同期减少</w:t>
      </w:r>
      <w:r>
        <w:rPr>
          <w:rFonts w:ascii="Calibri" w:hAnsi="Calibri" w:cs="Calibri"/>
          <w:sz w:val="18"/>
          <w:szCs w:val="18"/>
        </w:rPr>
        <w:t>99.33%</w:t>
      </w:r>
      <w:r>
        <w:rPr>
          <w:rFonts w:cs="Calibri" w:hint="eastAsia"/>
          <w:sz w:val="18"/>
          <w:szCs w:val="18"/>
        </w:rPr>
        <w:t>，主要系上年度江西翔鹭收到政府退城入园固定资产处置款项；</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投资活动现金流出小计：较去年同期减少</w:t>
      </w:r>
      <w:r>
        <w:rPr>
          <w:rFonts w:ascii="Calibri" w:hAnsi="Calibri" w:cs="Calibri"/>
          <w:sz w:val="18"/>
          <w:szCs w:val="18"/>
        </w:rPr>
        <w:t>46.20%</w:t>
      </w:r>
      <w:r>
        <w:rPr>
          <w:rFonts w:cs="Calibri" w:hint="eastAsia"/>
          <w:sz w:val="18"/>
          <w:szCs w:val="18"/>
        </w:rPr>
        <w:t>，主要系减少购建固定资产、无形资产和其他长期资产所支付的现金；</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投资活动产生的现金流量净额：较去年同期减少</w:t>
      </w:r>
      <w:r>
        <w:rPr>
          <w:rFonts w:ascii="Calibri" w:hAnsi="Calibri" w:cs="Calibri"/>
          <w:sz w:val="18"/>
          <w:szCs w:val="18"/>
        </w:rPr>
        <w:t>241.20%</w:t>
      </w:r>
      <w:r>
        <w:rPr>
          <w:rFonts w:cs="Calibri" w:hint="eastAsia"/>
          <w:sz w:val="18"/>
          <w:szCs w:val="18"/>
        </w:rPr>
        <w:t>，主要系上年度江西翔鹭收到政府退城入园固定资产处置款项；</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筹资活动现金流入小计：较去年同期减少</w:t>
      </w:r>
      <w:r>
        <w:rPr>
          <w:rFonts w:ascii="Calibri" w:hAnsi="Calibri" w:cs="Calibri"/>
          <w:sz w:val="18"/>
          <w:szCs w:val="18"/>
        </w:rPr>
        <w:t>36.53%</w:t>
      </w:r>
      <w:r>
        <w:rPr>
          <w:rFonts w:cs="Calibri" w:hint="eastAsia"/>
          <w:sz w:val="18"/>
          <w:szCs w:val="18"/>
        </w:rPr>
        <w:t>，主要系减少取得借款所收到的现金及上年度存在员工股权激励投资款；</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筹资活动现金流出小计：较去年同期减少</w:t>
      </w:r>
      <w:r>
        <w:rPr>
          <w:rFonts w:ascii="Calibri" w:hAnsi="Calibri" w:cs="Calibri"/>
          <w:sz w:val="18"/>
          <w:szCs w:val="18"/>
        </w:rPr>
        <w:t>30.31%</w:t>
      </w:r>
      <w:r>
        <w:rPr>
          <w:rFonts w:cs="Calibri" w:hint="eastAsia"/>
          <w:sz w:val="18"/>
          <w:szCs w:val="18"/>
        </w:rPr>
        <w:t>，主要系减少偿还债务所支付的现金及增加分配股利；</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筹资活动产生的现金流量净额：较去年同期减少</w:t>
      </w:r>
      <w:r>
        <w:rPr>
          <w:rFonts w:ascii="Calibri" w:hAnsi="Calibri" w:cs="Calibri"/>
          <w:sz w:val="18"/>
          <w:szCs w:val="18"/>
        </w:rPr>
        <w:t>75.15%</w:t>
      </w:r>
      <w:r>
        <w:rPr>
          <w:rFonts w:cs="Calibri" w:hint="eastAsia"/>
          <w:sz w:val="18"/>
          <w:szCs w:val="18"/>
        </w:rPr>
        <w:t>，主要系增加分配股利及上年度存在员工股权激励投资款；</w:t>
      </w:r>
    </w:p>
    <w:p w:rsidR="00E22F4C" w:rsidRDefault="00E22F4C">
      <w:pPr>
        <w:pStyle w:val="a4"/>
        <w:spacing w:before="0" w:beforeAutospacing="0" w:after="0" w:afterAutospacing="0"/>
        <w:jc w:val="both"/>
        <w:divId w:val="1974870700"/>
        <w:rPr>
          <w:rFonts w:ascii="Calibri" w:hAnsi="Calibri" w:cs="Calibri"/>
          <w:sz w:val="21"/>
          <w:szCs w:val="21"/>
        </w:rPr>
      </w:pPr>
      <w:r>
        <w:rPr>
          <w:rFonts w:cs="Calibri" w:hint="eastAsia"/>
          <w:sz w:val="18"/>
          <w:szCs w:val="18"/>
        </w:rPr>
        <w:t>现金及现金等价物净增加额：较去年同期减少</w:t>
      </w:r>
      <w:r>
        <w:rPr>
          <w:rFonts w:ascii="Calibri" w:hAnsi="Calibri" w:cs="Calibri"/>
          <w:sz w:val="18"/>
          <w:szCs w:val="18"/>
        </w:rPr>
        <w:t>755.71%</w:t>
      </w:r>
      <w:r>
        <w:rPr>
          <w:rFonts w:cs="Calibri" w:hint="eastAsia"/>
          <w:sz w:val="18"/>
          <w:szCs w:val="18"/>
        </w:rPr>
        <w:t>，主要系增加投资活动、筹资活动资金支出。</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报告期内公司经营活动产生的现金净流量与本年度净利润存在重大差异的原因说明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divId w:val="2057971445"/>
        <w:rPr>
          <w:sz w:val="18"/>
          <w:szCs w:val="18"/>
        </w:rPr>
      </w:pPr>
      <w:r>
        <w:rPr>
          <w:rFonts w:hint="eastAsia"/>
          <w:sz w:val="18"/>
          <w:szCs w:val="18"/>
        </w:rPr>
        <w:t>主要系本年度计提商誉减值，成本费用中不涉及经营性现金流的折旧费、利息支出占比较大</w:t>
      </w:r>
    </w:p>
    <w:p w:rsidR="00E22F4C" w:rsidRDefault="00381575">
      <w:pPr>
        <w:pStyle w:val="2"/>
        <w:spacing w:before="300" w:after="300" w:line="320" w:lineRule="exact"/>
        <w:rPr>
          <w:rFonts w:ascii="宋体" w:eastAsia="宋体" w:hAnsi="宋体" w:cs="宋体"/>
          <w:b/>
          <w:bCs/>
          <w:sz w:val="24"/>
          <w:szCs w:val="24"/>
        </w:rPr>
      </w:pPr>
      <w:bookmarkStart w:id="31" w:name="_Toc988920"/>
      <w:r>
        <w:rPr>
          <w:rFonts w:ascii="宋体" w:eastAsia="宋体" w:hAnsi="宋体" w:cs="宋体"/>
          <w:b/>
          <w:bCs/>
          <w:sz w:val="24"/>
          <w:szCs w:val="24"/>
        </w:rPr>
        <w:t>五、非主营业务分析</w:t>
      </w:r>
      <w:bookmarkEnd w:id="3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占利润总额比例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形成原因说明</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是否具有可持续性</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投资收益</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257,170.08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-0.64%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可转债闲置资金理财等</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公允价值变动损益</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远期结售汇合约</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资产减值</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-24,660,570.18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61.61%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计提商誉、存货、应收款坏账损失等</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营业外收入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496,765.30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处理应付呆账等</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营业外支出</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2,874,239.81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固定资产报废损失等</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其他收益</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9,545,199.29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政府补助等</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bl>
    <w:p w:rsidR="00E22F4C" w:rsidRDefault="00381575">
      <w:pPr>
        <w:pStyle w:val="2"/>
        <w:spacing w:before="300" w:after="300" w:line="320" w:lineRule="exact"/>
        <w:rPr>
          <w:rFonts w:ascii="宋体" w:eastAsia="宋体" w:hAnsi="宋体" w:cs="宋体"/>
          <w:b/>
          <w:bCs/>
          <w:sz w:val="24"/>
          <w:szCs w:val="24"/>
        </w:rPr>
      </w:pPr>
      <w:bookmarkStart w:id="32" w:name="_Toc988921"/>
      <w:r>
        <w:rPr>
          <w:rFonts w:ascii="宋体" w:eastAsia="宋体" w:hAnsi="宋体" w:cs="宋体"/>
          <w:b/>
          <w:bCs/>
          <w:sz w:val="24"/>
          <w:szCs w:val="24"/>
        </w:rPr>
        <w:t>六、资产及负债状况分析</w:t>
      </w:r>
      <w:bookmarkEnd w:id="32"/>
    </w:p>
    <w:p w:rsidR="00E22F4C" w:rsidRDefault="00381575">
      <w:pPr>
        <w:pStyle w:val="3"/>
        <w:spacing w:line="280" w:lineRule="exact"/>
        <w:jc w:val="left"/>
        <w:rPr>
          <w:rFonts w:ascii="宋体" w:hAnsi="宋体" w:cs="宋体"/>
          <w:b/>
          <w:bCs/>
        </w:rPr>
      </w:pPr>
      <w:bookmarkStart w:id="33" w:name="_Toc988922"/>
      <w:r>
        <w:rPr>
          <w:rFonts w:ascii="宋体" w:hAnsi="宋体" w:cs="宋体"/>
          <w:b/>
          <w:bCs/>
        </w:rPr>
        <w:t>1、资产构成重大变动情况</w:t>
      </w:r>
      <w:bookmarkEnd w:id="3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2022年末</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比重增减</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重大变动说明</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占总资产比例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占总资产比例</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150,880,194.11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243,712,701.57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应收账款</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264,153,826.03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193,849,372.89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7.99%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存货</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737,210,105.49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33.11%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767,704,893.98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31.65%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固定资产</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728,960,597.70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32.74%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721,433,903.07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29.75%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在建工程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16,330,011.10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0.73%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55,410,143.45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使用权资产</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527,421.43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686,502.13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短期借款</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399,048,731.97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17.92%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386,292,836.39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15.93%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合同负债</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1,016,062.09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6,302,744.57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0.26%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-0.21%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长期借款</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125,820,000.00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227,400,000.00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9.38%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租赁负债</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338,209.47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应收款项融资</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122,921,358.54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123,947,738.42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0.41%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无重大变动</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境外资产占比较高</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34" w:name="_Toc988923"/>
      <w:r>
        <w:rPr>
          <w:rFonts w:ascii="宋体" w:hAnsi="宋体" w:cs="宋体"/>
          <w:b/>
          <w:bCs/>
        </w:rPr>
        <w:t>2、以公允价值计量的资产和负债</w:t>
      </w:r>
      <w:bookmarkEnd w:id="3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本期公允价值变动损益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计入权益的累计公允价值变动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本期计提的减值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本期购买金额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本期出售金额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期末数</w:t>
            </w:r>
          </w:p>
        </w:tc>
      </w:tr>
      <w:tr w:rsidR="00E22F4C">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金融资产</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1.交易性金融资产（不含衍生金融资产）</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4.其他权益工具投资</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金融资产小计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14,267,754.85</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应收款项融资</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123,947,738.42</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1,026,379.88</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122,921,358.54</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上述合计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138,215,493.27</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1,026,379.88</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136,684,849.39</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金融负债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其他变动的内容</w:t>
      </w:r>
    </w:p>
    <w:p w:rsidR="00E22F4C" w:rsidRDefault="00E22F4C">
      <w:pPr>
        <w:pStyle w:val="a4"/>
        <w:divId w:val="1086265237"/>
        <w:rPr>
          <w:sz w:val="18"/>
          <w:szCs w:val="18"/>
        </w:rPr>
      </w:pPr>
      <w:r>
        <w:rPr>
          <w:rFonts w:hint="eastAsia"/>
          <w:sz w:val="18"/>
          <w:szCs w:val="18"/>
        </w:rPr>
        <w:t>无</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报告期内公司主要资产计量属性是否发生重大变化</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pStyle w:val="3"/>
        <w:spacing w:line="280" w:lineRule="exact"/>
        <w:jc w:val="left"/>
        <w:rPr>
          <w:rFonts w:ascii="宋体" w:hAnsi="宋体" w:cs="宋体"/>
          <w:b/>
          <w:bCs/>
        </w:rPr>
      </w:pPr>
      <w:bookmarkStart w:id="35" w:name="_Toc988924"/>
      <w:r>
        <w:rPr>
          <w:rFonts w:ascii="宋体" w:hAnsi="宋体" w:cs="宋体"/>
          <w:b/>
          <w:bCs/>
        </w:rPr>
        <w:lastRenderedPageBreak/>
        <w:t>3、截至报告期末的资产权利受限情况</w:t>
      </w:r>
      <w:bookmarkEnd w:id="35"/>
    </w:p>
    <w:tbl>
      <w:tblPr>
        <w:tblW w:w="7800" w:type="dxa"/>
        <w:tblCellMar>
          <w:left w:w="0" w:type="dxa"/>
          <w:right w:w="0" w:type="dxa"/>
        </w:tblCellMar>
        <w:tblLook w:val="04A0"/>
      </w:tblPr>
      <w:tblGrid>
        <w:gridCol w:w="1290"/>
        <w:gridCol w:w="2325"/>
        <w:gridCol w:w="4185"/>
      </w:tblGrid>
      <w:tr w:rsidR="00E22F4C">
        <w:trPr>
          <w:divId w:val="323896392"/>
          <w:trHeight w:val="300"/>
        </w:trPr>
        <w:tc>
          <w:tcPr>
            <w:tcW w:w="12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E22F4C" w:rsidRDefault="00E22F4C">
            <w:pPr>
              <w:jc w:val="center"/>
              <w:rPr>
                <w:rFonts w:ascii="宋体" w:eastAsia="宋体" w:hAnsi="宋体" w:cs="宋体"/>
                <w:color w:val="000000"/>
                <w:sz w:val="18"/>
                <w:szCs w:val="18"/>
              </w:rPr>
            </w:pPr>
            <w:r>
              <w:rPr>
                <w:rFonts w:hint="eastAsia"/>
                <w:color w:val="000000"/>
                <w:sz w:val="18"/>
                <w:szCs w:val="18"/>
              </w:rPr>
              <w:t>项目</w:t>
            </w:r>
          </w:p>
        </w:tc>
        <w:tc>
          <w:tcPr>
            <w:tcW w:w="2325"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jc w:val="center"/>
              <w:rPr>
                <w:rFonts w:ascii="宋体" w:eastAsia="宋体" w:hAnsi="宋体" w:cs="宋体"/>
                <w:color w:val="000000"/>
                <w:sz w:val="18"/>
                <w:szCs w:val="18"/>
              </w:rPr>
            </w:pPr>
            <w:r>
              <w:rPr>
                <w:rFonts w:hint="eastAsia"/>
                <w:color w:val="000000"/>
                <w:sz w:val="18"/>
                <w:szCs w:val="18"/>
              </w:rPr>
              <w:t>期末账面价值</w:t>
            </w:r>
          </w:p>
        </w:tc>
        <w:tc>
          <w:tcPr>
            <w:tcW w:w="4185"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jc w:val="center"/>
              <w:rPr>
                <w:rFonts w:ascii="宋体" w:eastAsia="宋体" w:hAnsi="宋体" w:cs="宋体"/>
                <w:color w:val="000000"/>
                <w:sz w:val="18"/>
                <w:szCs w:val="18"/>
              </w:rPr>
            </w:pPr>
            <w:r>
              <w:rPr>
                <w:rFonts w:hint="eastAsia"/>
                <w:color w:val="000000"/>
                <w:sz w:val="18"/>
                <w:szCs w:val="18"/>
              </w:rPr>
              <w:t>受限原因</w:t>
            </w:r>
          </w:p>
        </w:tc>
      </w:tr>
      <w:tr w:rsidR="00E22F4C">
        <w:trPr>
          <w:divId w:val="323896392"/>
          <w:trHeight w:val="300"/>
        </w:trPr>
        <w:tc>
          <w:tcPr>
            <w:tcW w:w="129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E22F4C" w:rsidRDefault="00E22F4C">
            <w:pPr>
              <w:rPr>
                <w:rFonts w:ascii="宋体" w:eastAsia="宋体" w:hAnsi="宋体" w:cs="宋体"/>
                <w:color w:val="000000"/>
                <w:sz w:val="18"/>
                <w:szCs w:val="18"/>
              </w:rPr>
            </w:pPr>
            <w:r>
              <w:rPr>
                <w:rFonts w:hint="eastAsia"/>
                <w:color w:val="000000"/>
                <w:sz w:val="18"/>
                <w:szCs w:val="18"/>
              </w:rPr>
              <w:t>货币资金</w:t>
            </w:r>
          </w:p>
        </w:tc>
        <w:tc>
          <w:tcPr>
            <w:tcW w:w="232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jc w:val="right"/>
              <w:rPr>
                <w:rFonts w:ascii="宋体" w:eastAsia="宋体" w:hAnsi="宋体" w:cs="宋体"/>
                <w:color w:val="000000"/>
                <w:sz w:val="18"/>
                <w:szCs w:val="18"/>
              </w:rPr>
            </w:pPr>
            <w:r>
              <w:rPr>
                <w:rFonts w:hint="eastAsia"/>
                <w:color w:val="000000"/>
                <w:sz w:val="18"/>
                <w:szCs w:val="18"/>
              </w:rPr>
              <w:t>86,652,826.62</w:t>
            </w:r>
          </w:p>
        </w:tc>
        <w:tc>
          <w:tcPr>
            <w:tcW w:w="41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rPr>
                <w:rFonts w:ascii="宋体" w:eastAsia="宋体" w:hAnsi="宋体" w:cs="宋体"/>
                <w:color w:val="000000"/>
                <w:sz w:val="18"/>
                <w:szCs w:val="18"/>
              </w:rPr>
            </w:pPr>
            <w:r>
              <w:rPr>
                <w:rFonts w:hint="eastAsia"/>
                <w:color w:val="000000"/>
                <w:sz w:val="18"/>
                <w:szCs w:val="18"/>
              </w:rPr>
              <w:t>为本公司银行承兑汇票和信用证设置质押担保</w:t>
            </w:r>
          </w:p>
        </w:tc>
      </w:tr>
      <w:tr w:rsidR="00E22F4C">
        <w:trPr>
          <w:divId w:val="323896392"/>
          <w:trHeight w:val="300"/>
        </w:trPr>
        <w:tc>
          <w:tcPr>
            <w:tcW w:w="129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E22F4C" w:rsidRDefault="00E22F4C">
            <w:pPr>
              <w:rPr>
                <w:rFonts w:ascii="宋体" w:eastAsia="宋体" w:hAnsi="宋体" w:cs="宋体"/>
                <w:color w:val="000000"/>
                <w:sz w:val="18"/>
                <w:szCs w:val="18"/>
              </w:rPr>
            </w:pPr>
            <w:r>
              <w:rPr>
                <w:rFonts w:hint="eastAsia"/>
                <w:color w:val="000000"/>
                <w:sz w:val="18"/>
                <w:szCs w:val="18"/>
              </w:rPr>
              <w:t>固定资产</w:t>
            </w:r>
          </w:p>
        </w:tc>
        <w:tc>
          <w:tcPr>
            <w:tcW w:w="232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jc w:val="right"/>
              <w:rPr>
                <w:rFonts w:ascii="宋体" w:eastAsia="宋体" w:hAnsi="宋体" w:cs="宋体"/>
                <w:color w:val="000000"/>
                <w:sz w:val="18"/>
                <w:szCs w:val="18"/>
              </w:rPr>
            </w:pPr>
            <w:r>
              <w:rPr>
                <w:rFonts w:hint="eastAsia"/>
                <w:color w:val="000000"/>
                <w:sz w:val="18"/>
                <w:szCs w:val="18"/>
              </w:rPr>
              <w:t>183,061,438.83</w:t>
            </w:r>
          </w:p>
        </w:tc>
        <w:tc>
          <w:tcPr>
            <w:tcW w:w="41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rPr>
                <w:rFonts w:ascii="宋体" w:eastAsia="宋体" w:hAnsi="宋体" w:cs="宋体"/>
                <w:color w:val="000000"/>
                <w:sz w:val="18"/>
                <w:szCs w:val="18"/>
              </w:rPr>
            </w:pPr>
            <w:r>
              <w:rPr>
                <w:rFonts w:hint="eastAsia"/>
                <w:color w:val="000000"/>
                <w:sz w:val="18"/>
                <w:szCs w:val="18"/>
              </w:rPr>
              <w:t>为本公司银行借款设置抵押担保、查封登记</w:t>
            </w:r>
          </w:p>
        </w:tc>
      </w:tr>
      <w:tr w:rsidR="00E22F4C">
        <w:trPr>
          <w:divId w:val="323896392"/>
          <w:trHeight w:val="300"/>
        </w:trPr>
        <w:tc>
          <w:tcPr>
            <w:tcW w:w="129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E22F4C" w:rsidRDefault="00E22F4C">
            <w:pPr>
              <w:rPr>
                <w:rFonts w:ascii="宋体" w:eastAsia="宋体" w:hAnsi="宋体" w:cs="宋体"/>
                <w:color w:val="000000"/>
                <w:sz w:val="18"/>
                <w:szCs w:val="18"/>
              </w:rPr>
            </w:pPr>
            <w:r>
              <w:rPr>
                <w:rFonts w:hint="eastAsia"/>
                <w:color w:val="000000"/>
                <w:sz w:val="18"/>
                <w:szCs w:val="18"/>
              </w:rPr>
              <w:t>无形资产</w:t>
            </w:r>
          </w:p>
        </w:tc>
        <w:tc>
          <w:tcPr>
            <w:tcW w:w="232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jc w:val="right"/>
              <w:rPr>
                <w:rFonts w:ascii="宋体" w:eastAsia="宋体" w:hAnsi="宋体" w:cs="宋体"/>
                <w:color w:val="000000"/>
                <w:sz w:val="18"/>
                <w:szCs w:val="18"/>
              </w:rPr>
            </w:pPr>
            <w:r>
              <w:rPr>
                <w:rFonts w:hint="eastAsia"/>
                <w:color w:val="000000"/>
                <w:sz w:val="18"/>
                <w:szCs w:val="18"/>
              </w:rPr>
              <w:t>48,694,206.08</w:t>
            </w:r>
          </w:p>
        </w:tc>
        <w:tc>
          <w:tcPr>
            <w:tcW w:w="41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rPr>
                <w:rFonts w:ascii="宋体" w:eastAsia="宋体" w:hAnsi="宋体" w:cs="宋体"/>
                <w:color w:val="000000"/>
                <w:sz w:val="18"/>
                <w:szCs w:val="18"/>
              </w:rPr>
            </w:pPr>
            <w:r>
              <w:rPr>
                <w:rFonts w:hint="eastAsia"/>
                <w:color w:val="000000"/>
                <w:sz w:val="18"/>
                <w:szCs w:val="18"/>
              </w:rPr>
              <w:t>为本公司银行借款及银行承兑汇票设置抵押担保</w:t>
            </w:r>
          </w:p>
        </w:tc>
      </w:tr>
      <w:tr w:rsidR="00E22F4C">
        <w:trPr>
          <w:divId w:val="323896392"/>
          <w:trHeight w:val="300"/>
        </w:trPr>
        <w:tc>
          <w:tcPr>
            <w:tcW w:w="1290" w:type="dxa"/>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22F4C" w:rsidRDefault="00E22F4C">
            <w:pPr>
              <w:rPr>
                <w:rFonts w:ascii="宋体" w:eastAsia="宋体" w:hAnsi="宋体" w:cs="宋体"/>
                <w:color w:val="000000"/>
                <w:sz w:val="20"/>
                <w:szCs w:val="20"/>
              </w:rPr>
            </w:pPr>
            <w:r>
              <w:rPr>
                <w:rFonts w:hint="eastAsia"/>
                <w:color w:val="000000"/>
                <w:sz w:val="20"/>
                <w:szCs w:val="20"/>
              </w:rPr>
              <w:t>长期股权投资</w:t>
            </w:r>
            <w:r>
              <w:rPr>
                <w:rFonts w:ascii="Times New Roman" w:hAnsi="Times New Roman" w:cs="Times New Roman"/>
                <w:color w:val="000000"/>
                <w:sz w:val="20"/>
                <w:szCs w:val="20"/>
              </w:rPr>
              <w:t>-</w:t>
            </w:r>
            <w:r>
              <w:rPr>
                <w:rFonts w:hint="eastAsia"/>
                <w:color w:val="000000"/>
                <w:sz w:val="20"/>
                <w:szCs w:val="20"/>
              </w:rPr>
              <w:t>子公司股权</w:t>
            </w:r>
          </w:p>
        </w:tc>
        <w:tc>
          <w:tcPr>
            <w:tcW w:w="232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jc w:val="right"/>
              <w:rPr>
                <w:rFonts w:ascii="宋体" w:eastAsia="宋体" w:hAnsi="宋体" w:cs="宋体"/>
                <w:color w:val="000000"/>
                <w:sz w:val="18"/>
                <w:szCs w:val="18"/>
              </w:rPr>
            </w:pPr>
            <w:r>
              <w:rPr>
                <w:rFonts w:hint="eastAsia"/>
                <w:color w:val="000000"/>
                <w:sz w:val="18"/>
                <w:szCs w:val="18"/>
              </w:rPr>
              <w:t>275,000,000.00</w:t>
            </w:r>
          </w:p>
        </w:tc>
        <w:tc>
          <w:tcPr>
            <w:tcW w:w="4185" w:type="dxa"/>
            <w:tcBorders>
              <w:top w:val="nil"/>
              <w:left w:val="nil"/>
              <w:bottom w:val="single" w:sz="8" w:space="0" w:color="auto"/>
              <w:right w:val="single" w:sz="8" w:space="0" w:color="auto"/>
            </w:tcBorders>
            <w:tcMar>
              <w:top w:w="15" w:type="dxa"/>
              <w:left w:w="15" w:type="dxa"/>
              <w:bottom w:w="0" w:type="dxa"/>
              <w:right w:w="15" w:type="dxa"/>
            </w:tcMar>
            <w:hideMark/>
          </w:tcPr>
          <w:p w:rsidR="00E22F4C" w:rsidRDefault="00E22F4C">
            <w:pPr>
              <w:rPr>
                <w:rFonts w:ascii="宋体" w:eastAsia="宋体" w:hAnsi="宋体" w:cs="宋体"/>
                <w:color w:val="000000"/>
                <w:sz w:val="20"/>
                <w:szCs w:val="20"/>
              </w:rPr>
            </w:pPr>
            <w:r>
              <w:rPr>
                <w:rFonts w:hint="eastAsia"/>
                <w:color w:val="000000"/>
                <w:sz w:val="20"/>
                <w:szCs w:val="20"/>
              </w:rPr>
              <w:t>为本公司银行借款设置质押担保</w:t>
            </w:r>
          </w:p>
        </w:tc>
      </w:tr>
      <w:tr w:rsidR="00E22F4C">
        <w:trPr>
          <w:divId w:val="323896392"/>
          <w:trHeight w:val="300"/>
        </w:trPr>
        <w:tc>
          <w:tcPr>
            <w:tcW w:w="129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E22F4C" w:rsidRDefault="00E22F4C">
            <w:pPr>
              <w:rPr>
                <w:rFonts w:ascii="宋体" w:eastAsia="宋体" w:hAnsi="宋体" w:cs="宋体"/>
                <w:color w:val="000000"/>
                <w:sz w:val="18"/>
                <w:szCs w:val="18"/>
              </w:rPr>
            </w:pPr>
            <w:r>
              <w:rPr>
                <w:rFonts w:hint="eastAsia"/>
                <w:color w:val="000000"/>
                <w:sz w:val="18"/>
                <w:szCs w:val="18"/>
              </w:rPr>
              <w:t>合计</w:t>
            </w:r>
          </w:p>
        </w:tc>
        <w:tc>
          <w:tcPr>
            <w:tcW w:w="232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E22F4C" w:rsidRDefault="00E22F4C">
            <w:pPr>
              <w:jc w:val="right"/>
              <w:rPr>
                <w:rFonts w:ascii="宋体" w:eastAsia="宋体" w:hAnsi="宋体" w:cs="宋体"/>
                <w:color w:val="000000"/>
                <w:sz w:val="18"/>
                <w:szCs w:val="18"/>
              </w:rPr>
            </w:pPr>
            <w:r>
              <w:rPr>
                <w:rFonts w:hint="eastAsia"/>
                <w:color w:val="000000"/>
                <w:sz w:val="18"/>
                <w:szCs w:val="18"/>
              </w:rPr>
              <w:t>593,408,471.53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E22F4C" w:rsidRDefault="00E22F4C">
            <w:pPr>
              <w:rPr>
                <w:rFonts w:ascii="宋体" w:eastAsia="宋体" w:hAnsi="宋体" w:cs="宋体"/>
                <w:color w:val="000000"/>
                <w:sz w:val="24"/>
                <w:szCs w:val="24"/>
              </w:rPr>
            </w:pPr>
            <w:r>
              <w:rPr>
                <w:rFonts w:hint="eastAsia"/>
                <w:color w:val="000000"/>
              </w:rPr>
              <w:t> </w:t>
            </w:r>
          </w:p>
        </w:tc>
      </w:tr>
    </w:tbl>
    <w:p w:rsidR="00E22F4C" w:rsidRDefault="00E22F4C">
      <w:pPr>
        <w:divId w:val="323896392"/>
        <w:rPr>
          <w:sz w:val="24"/>
          <w:szCs w:val="24"/>
        </w:rPr>
      </w:pPr>
    </w:p>
    <w:p w:rsidR="00E22F4C" w:rsidRDefault="00381575">
      <w:pPr>
        <w:pStyle w:val="2"/>
        <w:spacing w:before="300" w:after="300" w:line="320" w:lineRule="exact"/>
        <w:rPr>
          <w:rFonts w:ascii="宋体" w:eastAsia="宋体" w:hAnsi="宋体" w:cs="宋体"/>
          <w:b/>
          <w:bCs/>
          <w:sz w:val="24"/>
          <w:szCs w:val="24"/>
        </w:rPr>
      </w:pPr>
      <w:bookmarkStart w:id="36" w:name="_Toc988925"/>
      <w:r>
        <w:rPr>
          <w:rFonts w:ascii="宋体" w:eastAsia="宋体" w:hAnsi="宋体" w:cs="宋体"/>
          <w:b/>
          <w:bCs/>
          <w:sz w:val="24"/>
          <w:szCs w:val="24"/>
        </w:rPr>
        <w:t>七、投资状况分析</w:t>
      </w:r>
      <w:bookmarkEnd w:id="36"/>
    </w:p>
    <w:p w:rsidR="00E22F4C" w:rsidRDefault="00381575">
      <w:pPr>
        <w:pStyle w:val="3"/>
        <w:spacing w:line="280" w:lineRule="exact"/>
        <w:jc w:val="left"/>
        <w:rPr>
          <w:rFonts w:ascii="宋体" w:hAnsi="宋体" w:cs="宋体"/>
          <w:b/>
          <w:bCs/>
        </w:rPr>
      </w:pPr>
      <w:bookmarkStart w:id="37" w:name="_Toc988926"/>
      <w:r>
        <w:rPr>
          <w:rFonts w:ascii="宋体" w:hAnsi="宋体" w:cs="宋体"/>
          <w:b/>
          <w:bCs/>
        </w:rPr>
        <w:t>1、总体情况</w:t>
      </w:r>
      <w:bookmarkEnd w:id="3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上年同期投资额（元）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变动幅度</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28,007,429.42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31,273,511.73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-10.44%</w:t>
            </w:r>
          </w:p>
        </w:tc>
      </w:tr>
    </w:tbl>
    <w:p w:rsidR="00E22F4C" w:rsidRDefault="00381575">
      <w:pPr>
        <w:pStyle w:val="3"/>
        <w:spacing w:line="280" w:lineRule="exact"/>
        <w:jc w:val="left"/>
        <w:rPr>
          <w:rFonts w:ascii="宋体" w:hAnsi="宋体" w:cs="宋体"/>
          <w:b/>
          <w:bCs/>
        </w:rPr>
      </w:pPr>
      <w:bookmarkStart w:id="38" w:name="_Toc988927"/>
      <w:r>
        <w:rPr>
          <w:rFonts w:ascii="宋体" w:hAnsi="宋体" w:cs="宋体"/>
          <w:b/>
          <w:bCs/>
        </w:rPr>
        <w:t>2、报告期内获取的重大的股权投资情况</w:t>
      </w:r>
      <w:bookmarkEnd w:id="3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42"/>
        <w:gridCol w:w="642"/>
        <w:gridCol w:w="642"/>
        <w:gridCol w:w="642"/>
        <w:gridCol w:w="642"/>
        <w:gridCol w:w="642"/>
        <w:gridCol w:w="643"/>
        <w:gridCol w:w="643"/>
        <w:gridCol w:w="643"/>
        <w:gridCol w:w="643"/>
        <w:gridCol w:w="643"/>
        <w:gridCol w:w="643"/>
        <w:gridCol w:w="643"/>
        <w:gridCol w:w="643"/>
        <w:gridCol w:w="643"/>
      </w:tblGrid>
      <w:tr w:rsidR="00E22F4C">
        <w:trPr>
          <w:trHeight w:val="240"/>
        </w:trPr>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被投资公司名称</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主要业务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投资方式</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投资金额</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资金来源</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合作方</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投资期限</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产品类型</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截至资产负债表日的进展情况</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预计收益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本期投资盈亏</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是否涉诉</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披露日期（如有）</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披露索引（如有）</w:t>
            </w:r>
          </w:p>
        </w:tc>
      </w:tr>
      <w:tr w:rsidR="00E22F4C">
        <w:trPr>
          <w:trHeight w:val="240"/>
        </w:trPr>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广东翔鹭精密制造有限公司</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硬质合金精密切削刀具产品研究、开发、销售及提供相关技术服务。（依法须经批准的项</w:t>
            </w:r>
            <w:r>
              <w:rPr>
                <w:rFonts w:ascii="宋体" w:eastAsia="宋体" w:hAnsi="宋体" w:cs="宋体"/>
                <w:sz w:val="18"/>
                <w:szCs w:val="18"/>
              </w:rPr>
              <w:lastRenderedPageBreak/>
              <w:t>目，经相关部门批准后方可开展经营活动）</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增资</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5,345,022.98</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募集资金</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长期</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股权投资</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已完成</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5,345,022.98</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E22F4C" w:rsidRDefault="00381575">
      <w:pPr>
        <w:pStyle w:val="3"/>
        <w:spacing w:line="280" w:lineRule="exact"/>
        <w:jc w:val="left"/>
        <w:rPr>
          <w:rFonts w:ascii="宋体" w:hAnsi="宋体" w:cs="宋体"/>
          <w:b/>
          <w:bCs/>
        </w:rPr>
      </w:pPr>
      <w:bookmarkStart w:id="39" w:name="_Toc988928"/>
      <w:r>
        <w:rPr>
          <w:rFonts w:ascii="宋体" w:hAnsi="宋体" w:cs="宋体"/>
          <w:b/>
          <w:bCs/>
        </w:rPr>
        <w:t>3、报告期内正在进行的重大的非股权投资情况</w:t>
      </w:r>
      <w:bookmarkEnd w:id="3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40" w:name="_Toc988929"/>
      <w:r>
        <w:rPr>
          <w:rFonts w:ascii="宋体" w:hAnsi="宋体" w:cs="宋体"/>
          <w:b/>
          <w:bCs/>
        </w:rPr>
        <w:t>4、金融资产投资</w:t>
      </w:r>
      <w:bookmarkEnd w:id="40"/>
    </w:p>
    <w:p w:rsidR="00E22F4C" w:rsidRDefault="00381575">
      <w:pPr>
        <w:keepNext/>
        <w:keepLines/>
        <w:spacing w:before="300" w:after="300" w:line="280" w:lineRule="exact"/>
        <w:outlineLvl w:val="3"/>
        <w:rPr>
          <w:rFonts w:ascii="宋体" w:eastAsia="宋体" w:hAnsi="宋体" w:cs="宋体"/>
          <w:b/>
          <w:bCs/>
          <w:sz w:val="18"/>
          <w:szCs w:val="18"/>
        </w:rPr>
      </w:pPr>
      <w:bookmarkStart w:id="41" w:name="_Toc988930"/>
      <w:r>
        <w:rPr>
          <w:rFonts w:ascii="宋体" w:eastAsia="宋体" w:hAnsi="宋体" w:cs="宋体"/>
          <w:b/>
          <w:bCs/>
          <w:sz w:val="18"/>
          <w:szCs w:val="18"/>
        </w:rPr>
        <w:t>（1） 证券投资情况</w:t>
      </w:r>
      <w:bookmarkEnd w:id="4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公司报告期不存在证券投资。</w:t>
      </w:r>
    </w:p>
    <w:p w:rsidR="00E22F4C" w:rsidRDefault="00381575">
      <w:pPr>
        <w:keepNext/>
        <w:keepLines/>
        <w:spacing w:before="300" w:after="300" w:line="280" w:lineRule="exact"/>
        <w:outlineLvl w:val="3"/>
        <w:rPr>
          <w:rFonts w:ascii="宋体" w:eastAsia="宋体" w:hAnsi="宋体" w:cs="宋体"/>
          <w:b/>
          <w:bCs/>
          <w:sz w:val="18"/>
          <w:szCs w:val="18"/>
        </w:rPr>
      </w:pPr>
      <w:bookmarkStart w:id="42" w:name="_Toc988931"/>
      <w:r>
        <w:rPr>
          <w:rFonts w:ascii="宋体" w:eastAsia="宋体" w:hAnsi="宋体" w:cs="宋体"/>
          <w:b/>
          <w:bCs/>
          <w:sz w:val="18"/>
          <w:szCs w:val="18"/>
        </w:rPr>
        <w:t>（2） 衍生品投资情况</w:t>
      </w:r>
      <w:bookmarkEnd w:id="4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公司报告期不存在衍生品投资。</w:t>
      </w:r>
    </w:p>
    <w:p w:rsidR="00E22F4C" w:rsidRDefault="00381575">
      <w:pPr>
        <w:pStyle w:val="3"/>
        <w:spacing w:line="280" w:lineRule="exact"/>
        <w:jc w:val="left"/>
        <w:rPr>
          <w:rFonts w:ascii="宋体" w:hAnsi="宋体" w:cs="宋体"/>
          <w:b/>
          <w:bCs/>
        </w:rPr>
      </w:pPr>
      <w:bookmarkStart w:id="43" w:name="_Toc988932"/>
      <w:r>
        <w:rPr>
          <w:rFonts w:ascii="宋体" w:hAnsi="宋体" w:cs="宋体"/>
          <w:b/>
          <w:bCs/>
        </w:rPr>
        <w:t>5、募集资金使用情况</w:t>
      </w:r>
      <w:bookmarkEnd w:id="4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keepNext/>
        <w:keepLines/>
        <w:spacing w:before="300" w:after="300" w:line="280" w:lineRule="exact"/>
        <w:outlineLvl w:val="3"/>
        <w:rPr>
          <w:rFonts w:ascii="宋体" w:eastAsia="宋体" w:hAnsi="宋体" w:cs="宋体"/>
          <w:b/>
          <w:bCs/>
          <w:sz w:val="18"/>
          <w:szCs w:val="18"/>
        </w:rPr>
      </w:pPr>
      <w:bookmarkStart w:id="44" w:name="_Toc988933"/>
      <w:r>
        <w:rPr>
          <w:rFonts w:ascii="宋体" w:eastAsia="宋体" w:hAnsi="宋体" w:cs="宋体"/>
          <w:b/>
          <w:bCs/>
          <w:sz w:val="18"/>
          <w:szCs w:val="18"/>
        </w:rPr>
        <w:t>（1） 募集资金总体使用情况</w:t>
      </w:r>
      <w:bookmarkEnd w:id="4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6"/>
        <w:gridCol w:w="876"/>
        <w:gridCol w:w="876"/>
        <w:gridCol w:w="876"/>
        <w:gridCol w:w="876"/>
        <w:gridCol w:w="876"/>
        <w:gridCol w:w="876"/>
        <w:gridCol w:w="876"/>
        <w:gridCol w:w="876"/>
        <w:gridCol w:w="876"/>
        <w:gridCol w:w="879"/>
      </w:tblGrid>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募集年份</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募集方式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本期已使用募集资金总额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已累计使用募集资金总额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报告期内变更用途的募集资金总额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累计变更用途的募集资金总额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累计变更用途的募集资金总额比例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尚未使用募集资金总额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尚未使用募集资金用途及去向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闲置两年以上募集资金金额</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2019年</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可转换债券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29,020.21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2,266.24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12,604.53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2,085.23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存放于募集资金专户</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29,020.21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2,266.24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12,604.53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2,085.23</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募集资金总体使用情况说明</w:t>
            </w:r>
          </w:p>
        </w:tc>
      </w:tr>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截至2022年12月31日止，公司公开发行可转换公司债券募集资金累计直接投入募投项目人民币85,188,411.26元，置换前期投入资金人民币40,856,889.03元，加上扣除手续费后累计利息收入净额人民币3,958,254.74元，理财</w:t>
            </w:r>
            <w:r>
              <w:rPr>
                <w:rFonts w:ascii="宋体" w:eastAsia="宋体" w:hAnsi="宋体" w:cs="宋体"/>
                <w:sz w:val="18"/>
                <w:szCs w:val="18"/>
              </w:rPr>
              <w:lastRenderedPageBreak/>
              <w:t>产品收益747,185.08，永久补充流动资金人民币148,009,977.21元，尚未使用的募集资金余额为人民币20,852,262.32元，与募集资金专户的截止日余额一致。</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45" w:name="_Toc988934"/>
      <w:r>
        <w:rPr>
          <w:rFonts w:ascii="宋体" w:eastAsia="宋体" w:hAnsi="宋体" w:cs="宋体"/>
          <w:b/>
          <w:bCs/>
          <w:sz w:val="18"/>
          <w:szCs w:val="18"/>
        </w:rPr>
        <w:lastRenderedPageBreak/>
        <w:t>（2） 募集资金承诺项目情况</w:t>
      </w:r>
      <w:bookmarkEnd w:id="4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6"/>
        <w:gridCol w:w="876"/>
        <w:gridCol w:w="876"/>
        <w:gridCol w:w="876"/>
        <w:gridCol w:w="876"/>
        <w:gridCol w:w="876"/>
        <w:gridCol w:w="876"/>
        <w:gridCol w:w="876"/>
        <w:gridCol w:w="876"/>
        <w:gridCol w:w="876"/>
        <w:gridCol w:w="879"/>
      </w:tblGrid>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承诺投资项目和超募资金投向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是否已变更项目(含部分变更)</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募集资金承诺投资总额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调整后投资总额(1)</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本报告期投入金额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截至期末累计投入金额(2)</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截至期末投资进度(3)＝(2)/(1)</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项目达到预定可使用状态日期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本报告期实现的效益</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是否达到预计效益</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项目可行性是否发生重大变化</w:t>
            </w:r>
          </w:p>
        </w:tc>
      </w:tr>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承诺投资项目</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年产800t特种超硬合金智能化生产项目</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15,192.23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15,192.23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2,266.24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12,070.03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79.45%</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2024年02月29日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年产600万支精密特种硬质合金切削工具智能制造项目</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534.5</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534.5</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2022年06月30日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年产600万支精密特种硬质合金切削工具智能制造项目</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14,465.5</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承诺投资项目小计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30,192.23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30,192.23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17,067.24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27,405.53</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超募资金投向</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30,192.23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30,192.23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17,067.24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27,405.53</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分项目说明未达到计划进度、预计收益的情况和原因（含“是否</w:t>
            </w:r>
            <w:r>
              <w:rPr>
                <w:rFonts w:ascii="宋体" w:eastAsia="宋体" w:hAnsi="宋体" w:cs="宋体"/>
                <w:sz w:val="18"/>
                <w:szCs w:val="18"/>
              </w:rPr>
              <w:lastRenderedPageBreak/>
              <w:t>达到预计效益”选择“不适用”的原因）</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公司年产800t特种超硬合金智能化生产项目尚在建设中，尚未投产。</w:t>
            </w:r>
          </w:p>
          <w:p w:rsidR="00E22F4C" w:rsidRDefault="00E22F4C">
            <w:pPr>
              <w:spacing w:line="240" w:lineRule="exact"/>
              <w:rPr>
                <w:rFonts w:ascii="宋体" w:eastAsia="宋体" w:hAnsi="宋体" w:cs="宋体"/>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公司年产600万支精密特种硬质合金切削工具智能制造项目已终止投资，该项目未投入生产运营，效益未形成。</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项目可行性发生重大变化的情况说明</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超募资金的金额、用途及使用进展情况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募集资金投资项目实施地点变更情况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适用</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以前年度发生</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2020年7月23日，公司第三届董事会 2020 年第五次临时会议审议通过了《关于增加募投项目实施地点的议案》，公司拟调整首次公开发行募投项目“特种硬质合金材料及高精密硬质合金工具智能制造项目”、公开发行可转债募投项目“年产 600 万支精密特种硬质合金切削工具智能制造项目”的实施地点，即在原实施地点的基础上， 将实施地点扩展至包含全资子公司广东翔鹭精密、江西翔鹭精密、东莞翔鹭精密及常州翔鹭工具的所属经营地址。监事会、独立董事、保荐机构对此发表同意的意见。</w:t>
            </w:r>
          </w:p>
        </w:tc>
      </w:tr>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募集资金投资项目实施方式调整情况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募集资金投资项目先期投入及置换情况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适用</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2月13日，公司第三届董事会2020年第一次临时会议审议通过了《关于以可转债募集资金置换预先投入募投项目自筹资金的议案》，公司以募集资金4,085.69万元置换先期投入募投项目的自筹资金。监事会、独立董事、保荐机构对此发表同意的意见。报告期公司已完成募集资金置换，置换时间距离募集资金到账时间未超过6个月。</w:t>
            </w:r>
          </w:p>
        </w:tc>
      </w:tr>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用闲置募集资金暂时补充流动资金情况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适用</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2019年9月15日，公司第三届董事会2019年第六次临时会议审议通过了《关于使用部分闲置募集资金购买保本型理财产品的议案》，在不影响募集资金投资计划正常进行的前提下，同意公司及子公司使用最高额度不超过人民币8,000万元的闲置公开发行可转换公司债券募集资金购买安全性高、流动性好、有保本约定的银行理财产品，在该额度内，资金可以滚动使用，投资期限自董事会审议通过之日起 12 个月内有效。监事会、独立董事、保荐机构对此发表同意的意见。</w:t>
            </w:r>
          </w:p>
          <w:p w:rsidR="00E22F4C" w:rsidRDefault="00E22F4C">
            <w:pPr>
              <w:spacing w:line="240" w:lineRule="exact"/>
              <w:rPr>
                <w:rFonts w:ascii="宋体" w:eastAsia="宋体" w:hAnsi="宋体" w:cs="宋体"/>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2020年8月22日，公司第三届董事会第四次会议、第三届监事会第十八次会议审议通过了《关于使用部分闲置募集资金购买保本型理财产品的议案》，在不影响募集资金投资计划正常进行的前提下，同意公司及子公司使用额度不超过人民币7,000万元的闲置公开发行可转换公司债券募集资金进行现金管理，购买安全性高、流动性好、有保本约定的银行理财产品，在上述额度内资金可滚动使用，自董事会审议通过之日起12个月内有效。监事会、独立董事、保荐机构对此发表同意的意见。</w:t>
            </w:r>
          </w:p>
          <w:p w:rsidR="00E22F4C" w:rsidRDefault="00E22F4C">
            <w:pPr>
              <w:spacing w:line="240" w:lineRule="exact"/>
              <w:rPr>
                <w:rFonts w:ascii="宋体" w:eastAsia="宋体" w:hAnsi="宋体" w:cs="宋体"/>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2021年8月16日，公司第四届董事会2021 年第二次临时会议、第四届监事会第三次会议审议通过了《关于使用部分闲置募集资金购买保本型理财产品的议案》，在不影响募集资金投资计划正常进行的前提下，同意公司及子公司使用额度不超过人民币6,000万元的闲置公开发行可转换公司债券募集资金进行现金管理，购买安全性高、流动性好、有保本约定的银行理财产品，在上述额度内资金可滚动使用，自董事会审议通过之日起12个月内有效。监事会、独立董事、保荐机构对此发表同意的意见。</w:t>
            </w:r>
          </w:p>
          <w:p w:rsidR="00E22F4C" w:rsidRDefault="00E22F4C">
            <w:pPr>
              <w:spacing w:line="240" w:lineRule="exact"/>
              <w:rPr>
                <w:rFonts w:ascii="宋体" w:eastAsia="宋体" w:hAnsi="宋体" w:cs="宋体"/>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截至2022年12月31日止，上述闲置募集资金已归还至公司募集资金专用账户。</w:t>
            </w:r>
          </w:p>
          <w:p w:rsidR="00E22F4C" w:rsidRDefault="00E22F4C">
            <w:pPr>
              <w:spacing w:line="240" w:lineRule="exact"/>
              <w:rPr>
                <w:rFonts w:ascii="宋体" w:eastAsia="宋体" w:hAnsi="宋体" w:cs="宋体"/>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2019年9月15日，公司第三届董事会2019年第六次临时会议审议通过了《关于使用部分闲置募集资金暂时补充流动资金的议案》、《关于使用部分闲置募集资金购买保本型理财产品的议案》，公司以总额人民币20,000万元的闲置募集资金暂时补充其流动资金，本次补充流动资金的募集资金自经公司董事会审议批准之日起使用期限不超过12个月，到期将归还至公司募集资金专用账户。</w:t>
            </w:r>
          </w:p>
          <w:p w:rsidR="00E22F4C" w:rsidRDefault="00E22F4C">
            <w:pPr>
              <w:spacing w:line="240" w:lineRule="exact"/>
              <w:rPr>
                <w:rFonts w:ascii="宋体" w:eastAsia="宋体" w:hAnsi="宋体" w:cs="宋体"/>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2020年8月22日，公司第三届董事会2020年第四次会议、第三届监事会第十八次会议审议通过了《关于使用部分闲置募集资金暂时补充流动资金的议案》，公司以总额不超过人民币16,000 万元的闲置募集资金暂时补充其流动资金，本次补充流动资金的募集资金自经公司董事会审议批准之日起使用期限不超过12个月，到期将归还至公司募集资金专用账户。监事会、独立董事、保荐机构对此发表同意的意见。</w:t>
            </w:r>
          </w:p>
          <w:p w:rsidR="00E22F4C" w:rsidRDefault="00E22F4C">
            <w:pPr>
              <w:spacing w:line="240" w:lineRule="exact"/>
              <w:rPr>
                <w:rFonts w:ascii="宋体" w:eastAsia="宋体" w:hAnsi="宋体" w:cs="宋体"/>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2021年8月16日，公司第四届董事会2021年第二次临时会议、第四届监事会第三次会议审议通过了《关于使用部分闲置募集资金暂时补充流动资金的议案》，公司以总额不超过人民币15,000万元的闲置募集资金暂时补充其流动资金，本次补充流动资金的募集资金自经公司董事会审议批准之日起使用期限不超过12个月，到期将归还至公司募集资金专用账户。监事会、独立董事、保荐机构对此发表同意的意见。</w:t>
            </w:r>
          </w:p>
          <w:p w:rsidR="00E22F4C" w:rsidRDefault="00E22F4C">
            <w:pPr>
              <w:spacing w:line="240" w:lineRule="exact"/>
              <w:rPr>
                <w:rFonts w:ascii="宋体" w:eastAsia="宋体" w:hAnsi="宋体" w:cs="宋体"/>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截至2022年12月31日止，公司使用闲置募集资金暂时补充流动资金已归还至公司募集资金专用账户。</w:t>
            </w:r>
          </w:p>
        </w:tc>
      </w:tr>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项目实施出现募集资金结余的金额及原因</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尚未使用的募集资金用途及去向</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截至2022年12月31日，公司尚未使用的募集资金合计2,085.23万元，全部存放于公司募集资金专户。</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募集资金使用及披露中存在的问题或其他情况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46" w:name="_Toc988935"/>
      <w:r>
        <w:rPr>
          <w:rFonts w:ascii="宋体" w:eastAsia="宋体" w:hAnsi="宋体" w:cs="宋体"/>
          <w:b/>
          <w:bCs/>
          <w:sz w:val="18"/>
          <w:szCs w:val="18"/>
        </w:rPr>
        <w:t>（3） 募集资金变更项目情况</w:t>
      </w:r>
      <w:bookmarkEnd w:id="46"/>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63"/>
        <w:gridCol w:w="964"/>
        <w:gridCol w:w="964"/>
        <w:gridCol w:w="964"/>
        <w:gridCol w:w="964"/>
        <w:gridCol w:w="964"/>
        <w:gridCol w:w="964"/>
        <w:gridCol w:w="964"/>
        <w:gridCol w:w="964"/>
        <w:gridCol w:w="964"/>
      </w:tblGrid>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变更后的项目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对应的原承诺项目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变更后项目拟投入募集资金总额(1)</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本报告期实际投入金额</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截至期末实际累计投入金额(2)</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截至期末投资进度(3)=(2)/(1)</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项目达到预定可使用状态日期</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本报告期实现的效益</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是否达到预计效益</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变更后的项目可行性是否发生重大变化</w:t>
            </w: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永久补充流动资金</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年产600万支精密特种硬质合金切削工具智能制造项目</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14,465.5</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14,465.5</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变更原因、决策程序及信息披露情况说明(分具体项目)</w:t>
            </w:r>
          </w:p>
        </w:tc>
        <w:tc>
          <w:tcPr>
            <w:tcW w:w="674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    受近年市场各方面不确定性因素的影响，公司放缓了可转债募投项目“年产600万支精密特种硬质合金切削工具智能制造项目”的投资进度，截止2021年12月31日，该项目累计投入534.5万，投资进度为3.56%；公司在结合当前行业发展状况及自身经营、资金情况，经过综合分析及审慎考量后，认为如可转债募投项目“年产600万支精密特种硬质合金切削工具智能制造项目”按原计划继续投入，将难以达到预期目标；为保证募集资金的有效使用、避免造成投资损失，亦结合公司实际生产经营需要，本着谨慎使用募集资金及维护全体股东权益的原则，经过审慎研究论证，公司拟终止募投项目“年产600万支精密特种硬质合金切削工具智能制造项目”的投资。2022年4月29日，公司第四届董事会2022年第一次临时会议、第四届监事会第八次会议，2022年5月20日，公司2021年年度股东大会审议通过了《关于变更部分募集资金用途并永久补充流动资金的议案》，同意终止公司可转债募投项目“年产600万支精密特种硬质合金切削工具智能制造项目”并将剩余募集资金14,789.28万元（含利息收入，具体金额以资金转出当日银行结息余额为准）全部永久性补充流动资金，用于公司日常经营活动。详见公司指定信息披露媒体《证券时报》《中国证券报》《上海证券报》《证券日报》和巨潮资讯网（http://www.cninfo.com.cn）披露的《广东翔鹭钨业股份有限公司关于变更部分募集资金用途并永久补充流动资金的公告》，公告编号：2022-015。</w:t>
            </w:r>
          </w:p>
        </w:tc>
      </w:tr>
      <w:tr w:rsidR="00E22F4C">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未达到计划进度或预计收益的情况和原因(分具体项目)</w:t>
            </w:r>
          </w:p>
        </w:tc>
        <w:tc>
          <w:tcPr>
            <w:tcW w:w="674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变更后的项目可行性发生重大变化的情况说明</w:t>
            </w:r>
          </w:p>
        </w:tc>
        <w:tc>
          <w:tcPr>
            <w:tcW w:w="674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bl>
    <w:p w:rsidR="00E22F4C" w:rsidRDefault="00381575">
      <w:pPr>
        <w:pStyle w:val="2"/>
        <w:spacing w:before="300" w:after="300" w:line="320" w:lineRule="exact"/>
        <w:rPr>
          <w:rFonts w:ascii="宋体" w:eastAsia="宋体" w:hAnsi="宋体" w:cs="宋体"/>
          <w:b/>
          <w:bCs/>
          <w:sz w:val="24"/>
          <w:szCs w:val="24"/>
        </w:rPr>
      </w:pPr>
      <w:bookmarkStart w:id="47" w:name="_Toc988936"/>
      <w:r>
        <w:rPr>
          <w:rFonts w:ascii="宋体" w:eastAsia="宋体" w:hAnsi="宋体" w:cs="宋体"/>
          <w:b/>
          <w:bCs/>
          <w:sz w:val="24"/>
          <w:szCs w:val="24"/>
        </w:rPr>
        <w:t>八、重大资产和股权出售</w:t>
      </w:r>
      <w:bookmarkEnd w:id="47"/>
    </w:p>
    <w:p w:rsidR="00E22F4C" w:rsidRDefault="00381575">
      <w:pPr>
        <w:pStyle w:val="3"/>
        <w:spacing w:line="280" w:lineRule="exact"/>
        <w:jc w:val="left"/>
        <w:rPr>
          <w:rFonts w:ascii="宋体" w:hAnsi="宋体" w:cs="宋体"/>
          <w:b/>
          <w:bCs/>
        </w:rPr>
      </w:pPr>
      <w:bookmarkStart w:id="48" w:name="_Toc988937"/>
      <w:r>
        <w:rPr>
          <w:rFonts w:ascii="宋体" w:hAnsi="宋体" w:cs="宋体"/>
          <w:b/>
          <w:bCs/>
        </w:rPr>
        <w:t>1、出售重大资产情况</w:t>
      </w:r>
      <w:bookmarkEnd w:id="4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公司报告期未出售重大资产。</w:t>
      </w:r>
    </w:p>
    <w:p w:rsidR="00E22F4C" w:rsidRDefault="00381575">
      <w:pPr>
        <w:pStyle w:val="3"/>
        <w:spacing w:line="280" w:lineRule="exact"/>
        <w:jc w:val="left"/>
        <w:rPr>
          <w:rFonts w:ascii="宋体" w:hAnsi="宋体" w:cs="宋体"/>
          <w:b/>
          <w:bCs/>
        </w:rPr>
      </w:pPr>
      <w:bookmarkStart w:id="49" w:name="_Toc988938"/>
      <w:r>
        <w:rPr>
          <w:rFonts w:ascii="宋体" w:hAnsi="宋体" w:cs="宋体"/>
          <w:b/>
          <w:bCs/>
        </w:rPr>
        <w:t>2、出售重大股权情况</w:t>
      </w:r>
      <w:bookmarkEnd w:id="4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50" w:name="_Toc988939"/>
      <w:r>
        <w:rPr>
          <w:rFonts w:ascii="宋体" w:eastAsia="宋体" w:hAnsi="宋体" w:cs="宋体"/>
          <w:b/>
          <w:bCs/>
          <w:sz w:val="24"/>
          <w:szCs w:val="24"/>
        </w:rPr>
        <w:t>九、主要控股参股公司分析</w:t>
      </w:r>
      <w:bookmarkEnd w:id="5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主要子公司及对公司净利润影响达10%以上的参股公司情况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主要业务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注册资本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总资产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净资产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营业利润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净利润</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子公司</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加工、销售钨精矿、钨制品；研发、生产、销售硬质合金、硬质合金工业刀具、通用机械设备及配</w:t>
            </w:r>
            <w:r>
              <w:rPr>
                <w:rFonts w:ascii="宋体" w:eastAsia="宋体" w:hAnsi="宋体" w:cs="宋体"/>
                <w:sz w:val="18"/>
                <w:szCs w:val="18"/>
              </w:rPr>
              <w:lastRenderedPageBreak/>
              <w:t>件、磨具、磨料；自营和代理一般货物及技术进出口业务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40,000.00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76,737.47</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37,597.13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47,963.63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-1,691.35</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-1,915.61</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广东翔鹭精密制造有限公司</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子公司</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硬质合金精密切削刀具产品研究、开发、销售及提供相关技术服务。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10,534.50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13,435.94</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3,623.46</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4,081.78</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-2,012.00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-1,996.65</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报告期内取得和处置子公司的情况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主要控股参股公司情况说明</w:t>
      </w:r>
    </w:p>
    <w:p w:rsidR="00E22F4C" w:rsidRDefault="00E22F4C">
      <w:pPr>
        <w:pStyle w:val="a4"/>
        <w:divId w:val="1038893021"/>
        <w:rPr>
          <w:sz w:val="18"/>
          <w:szCs w:val="18"/>
        </w:rPr>
      </w:pPr>
      <w:r>
        <w:rPr>
          <w:rFonts w:hint="eastAsia"/>
          <w:color w:val="333333"/>
          <w:sz w:val="18"/>
          <w:szCs w:val="18"/>
          <w:shd w:val="clear" w:color="auto" w:fill="FFFFFF"/>
        </w:rPr>
        <w:t>江西翔鹭钨业有限公司：营业利润较上年同期下降365.46%，主要系1、销售量下滑，原材料价格上涨，市场需求疲软导致产能利用率不足；2、期间存在停工损失；3、财务费用相比上年度增加。</w:t>
      </w:r>
    </w:p>
    <w:p w:rsidR="00E22F4C" w:rsidRDefault="00E22F4C">
      <w:pPr>
        <w:pStyle w:val="a4"/>
        <w:divId w:val="1038893021"/>
        <w:rPr>
          <w:sz w:val="18"/>
          <w:szCs w:val="18"/>
        </w:rPr>
      </w:pPr>
      <w:r>
        <w:rPr>
          <w:rFonts w:hint="eastAsia"/>
          <w:color w:val="333333"/>
          <w:sz w:val="18"/>
          <w:szCs w:val="18"/>
          <w:shd w:val="clear" w:color="auto" w:fill="FFFFFF"/>
        </w:rPr>
        <w:t>广东翔鹭精密制造有限公司：营业利润上年同期下降18.11%，主要系期间搬迁产生费用及研发费用的增加。</w:t>
      </w:r>
    </w:p>
    <w:p w:rsidR="00E22F4C" w:rsidRDefault="00E22F4C">
      <w:pPr>
        <w:pStyle w:val="a4"/>
        <w:divId w:val="1038893021"/>
        <w:rPr>
          <w:sz w:val="18"/>
          <w:szCs w:val="18"/>
        </w:rPr>
      </w:pPr>
      <w:r>
        <w:rPr>
          <w:rFonts w:hint="eastAsia"/>
          <w:sz w:val="18"/>
          <w:szCs w:val="18"/>
        </w:rPr>
        <w:t> </w:t>
      </w:r>
    </w:p>
    <w:p w:rsidR="00E22F4C" w:rsidRDefault="00381575">
      <w:pPr>
        <w:pStyle w:val="2"/>
        <w:spacing w:before="300" w:after="300" w:line="320" w:lineRule="exact"/>
        <w:rPr>
          <w:rFonts w:ascii="宋体" w:eastAsia="宋体" w:hAnsi="宋体" w:cs="宋体"/>
          <w:b/>
          <w:bCs/>
          <w:sz w:val="24"/>
          <w:szCs w:val="24"/>
        </w:rPr>
      </w:pPr>
      <w:bookmarkStart w:id="51" w:name="_Toc988940"/>
      <w:r>
        <w:rPr>
          <w:rFonts w:ascii="宋体" w:eastAsia="宋体" w:hAnsi="宋体" w:cs="宋体"/>
          <w:b/>
          <w:bCs/>
          <w:sz w:val="24"/>
          <w:szCs w:val="24"/>
        </w:rPr>
        <w:t>十、公司控制的结构化主体情况</w:t>
      </w:r>
      <w:bookmarkEnd w:id="5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52" w:name="_Toc988941"/>
      <w:r>
        <w:rPr>
          <w:rFonts w:ascii="宋体" w:eastAsia="宋体" w:hAnsi="宋体" w:cs="宋体"/>
          <w:b/>
          <w:bCs/>
          <w:sz w:val="24"/>
          <w:szCs w:val="24"/>
        </w:rPr>
        <w:t>十一、公司未来发展的展望</w:t>
      </w:r>
      <w:bookmarkEnd w:id="52"/>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（一）行业格局和发展趋势</w:t>
      </w:r>
    </w:p>
    <w:p w:rsidR="00E22F4C" w:rsidRDefault="00E22F4C">
      <w:pPr>
        <w:pStyle w:val="a4"/>
        <w:spacing w:before="0" w:beforeAutospacing="0" w:after="0" w:afterAutospacing="0"/>
        <w:ind w:firstLine="360"/>
        <w:jc w:val="both"/>
        <w:divId w:val="1475832154"/>
        <w:rPr>
          <w:sz w:val="18"/>
          <w:szCs w:val="18"/>
        </w:rPr>
      </w:pPr>
      <w:r>
        <w:rPr>
          <w:rFonts w:hint="eastAsia"/>
          <w:color w:val="000000"/>
          <w:sz w:val="18"/>
          <w:szCs w:val="18"/>
        </w:rPr>
        <w:t>钨是稀有金属，也是重要的战略物资，被广泛应用于国民经济各个领域。从长期看，由于钨的特殊性能及应用广泛、产业关联度高等特点，钨资源对全球经济发展来说是不可或缺和难以替代的，加上中国钨资源具有优势战略地位，所以在中国经济保持中高速增长的同时，世界经济一旦恢复性增长，必将拉动钨需求的快速增长，钨市场价格逐步走高是必然趋势。钨行业监管力度的加强，尤其对钨冶炼环境保护监管力度的加强，将有利于规范钨矿开采，促进钨矿开采总量的平稳上升、资源的合理开发利用和生态环境的保护、以及产业转型升级，将推动我国产业结构向中高端发展，加快我国从制造大国转向制造强国的步伐，我国钨业将迎来新的发展机遇。</w:t>
      </w:r>
    </w:p>
    <w:p w:rsidR="00E22F4C" w:rsidRPr="001A1414" w:rsidRDefault="00E22F4C" w:rsidP="001A1414">
      <w:pPr>
        <w:pStyle w:val="a4"/>
        <w:spacing w:before="0" w:beforeAutospacing="0" w:after="0" w:afterAutospacing="0"/>
        <w:ind w:firstLine="360"/>
        <w:jc w:val="both"/>
        <w:divId w:val="1475832154"/>
        <w:rPr>
          <w:color w:val="000000"/>
          <w:sz w:val="18"/>
          <w:szCs w:val="18"/>
        </w:rPr>
      </w:pPr>
      <w:r>
        <w:rPr>
          <w:rFonts w:hint="eastAsia"/>
          <w:color w:val="000000"/>
          <w:sz w:val="18"/>
          <w:szCs w:val="18"/>
        </w:rPr>
        <w:t>从市场供应看，由于钨市场价格低位运行，国外钨矿开采新项目建设可能放缓，钨精矿产量稳中趋降，中国一些钨矿区由于往深部下延，矿石品位下降或资源趋于枯竭，以及开采总量控制、安全环保等政策措施的加强，钨精矿产量将继续下降，这些都将有利于缓解供需矛盾。但在市场好转的情况下，一些钨矿山可能恢复生产，总体看，全球钨市场供应仍将保持平衡，或略有下降。</w:t>
      </w:r>
    </w:p>
    <w:p w:rsidR="00E22F4C" w:rsidRPr="001A1414" w:rsidRDefault="00E22F4C" w:rsidP="001A1414">
      <w:pPr>
        <w:pStyle w:val="a4"/>
        <w:spacing w:before="0" w:beforeAutospacing="0" w:after="0" w:afterAutospacing="0"/>
        <w:ind w:firstLine="360"/>
        <w:jc w:val="both"/>
        <w:divId w:val="1475832154"/>
        <w:rPr>
          <w:color w:val="000000"/>
          <w:sz w:val="18"/>
          <w:szCs w:val="18"/>
        </w:rPr>
      </w:pPr>
      <w:r>
        <w:rPr>
          <w:rFonts w:hint="eastAsia"/>
          <w:color w:val="000000"/>
          <w:sz w:val="18"/>
          <w:szCs w:val="18"/>
        </w:rPr>
        <w:t>从市场需求看，汽车消费仍在持续增长，以汽车工业为代表的现代加工业的迅猛发展必将带动硬质合金工具需求量的增长。促进硬质合金产业向高速、高产、高效等复合方向发展；航空航天的快速发展也将带动高端硬质合金刀具市场需求的增长；电子消费品不断升级换代，包括手机、可穿戴设备、物联网、云计算、数据中心、汽车电子、计算机在内的新一代电子产品市场空间广阔，电子产品消费升级将带动电子元器件需求，也拉动硬质合金</w:t>
      </w:r>
      <w:r w:rsidRPr="001A1414">
        <w:rPr>
          <w:color w:val="000000"/>
          <w:sz w:val="18"/>
          <w:szCs w:val="18"/>
        </w:rPr>
        <w:t>PCB</w:t>
      </w:r>
      <w:r>
        <w:rPr>
          <w:rFonts w:hint="eastAsia"/>
          <w:color w:val="000000"/>
          <w:sz w:val="18"/>
          <w:szCs w:val="18"/>
        </w:rPr>
        <w:t>用微钻需求的快速增长。</w:t>
      </w:r>
    </w:p>
    <w:p w:rsidR="00E22F4C" w:rsidRPr="001A1414" w:rsidRDefault="00E22F4C" w:rsidP="001A1414">
      <w:pPr>
        <w:pStyle w:val="a4"/>
        <w:spacing w:before="0" w:beforeAutospacing="0" w:after="0" w:afterAutospacing="0"/>
        <w:ind w:firstLine="360"/>
        <w:jc w:val="both"/>
        <w:divId w:val="1475832154"/>
        <w:rPr>
          <w:color w:val="000000"/>
          <w:sz w:val="18"/>
          <w:szCs w:val="18"/>
        </w:rPr>
      </w:pPr>
      <w:r>
        <w:rPr>
          <w:rFonts w:hint="eastAsia"/>
          <w:color w:val="000000"/>
          <w:sz w:val="18"/>
          <w:szCs w:val="18"/>
        </w:rPr>
        <w:lastRenderedPageBreak/>
        <w:t>光伏行业装机需求旺盛，有望保持长期景气。今年中性预期全球新增装机 249.4GW，同比增长 47.1%，新增装机提速，需求较旺。伴随全球碳排放量高企、温室效应加剧以及传统能源造成污染等因素，设立“碳达峰”“碳中和”目标、着力发展各类清洁能源产业正成为全球关注的热点。在此背景下，已有多个国家或组织相继提出相关规划，设立了具体的光伏装机量目标，光伏行业中长期成长确定性较强。下游装机需求较旺，催化硅片扩产及产量增长，金刚线耗材充分受益。当前，金刚线细线化趋势持续推进， 行业一直推动金刚线细线化迭代，线径越细可以实现更低的切割损耗，用于切割更薄的硅片，减少硅料损失的同时，进一步提高出片率，从而摊薄硅片成本。当前金刚线的母线主要是碳钢线，具备强度高、硬度大、切削性好等特点，已经广泛的用作金刚线的母线材料。但碳钢线的线径缩小或已接近极限，钨丝相比碳钢线具备更强的抗拉强度，且能够承受更高的切割张力，因此可以在更细的线径下保持较高的破断力，可进一步缩小线径满足硅片薄片化需求。因而金刚线母线的需求大大带动了钨丝的消费。</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（二）公司发展战略</w:t>
      </w:r>
    </w:p>
    <w:p w:rsidR="00E22F4C" w:rsidRDefault="00E22F4C">
      <w:pPr>
        <w:pStyle w:val="a4"/>
        <w:spacing w:before="0" w:beforeAutospacing="0" w:after="0" w:afterAutospacing="0"/>
        <w:ind w:firstLine="360"/>
        <w:jc w:val="both"/>
        <w:divId w:val="1475832154"/>
        <w:rPr>
          <w:sz w:val="18"/>
          <w:szCs w:val="18"/>
        </w:rPr>
      </w:pPr>
      <w:r>
        <w:rPr>
          <w:rFonts w:hint="eastAsia"/>
          <w:color w:val="000000"/>
          <w:sz w:val="18"/>
          <w:szCs w:val="18"/>
        </w:rPr>
        <w:t>公司坚持以</w:t>
      </w:r>
      <w:r>
        <w:rPr>
          <w:rFonts w:ascii="Times New Roman" w:hAnsi="Times New Roman" w:cs="Times New Roman"/>
          <w:color w:val="000000"/>
          <w:sz w:val="18"/>
          <w:szCs w:val="18"/>
        </w:rPr>
        <w:t>“</w:t>
      </w:r>
      <w:r>
        <w:rPr>
          <w:rFonts w:hint="eastAsia"/>
          <w:color w:val="000000"/>
          <w:sz w:val="18"/>
          <w:szCs w:val="18"/>
        </w:rPr>
        <w:t>厚德载物，诚信致远</w:t>
      </w:r>
      <w:r>
        <w:rPr>
          <w:rFonts w:ascii="Times New Roman" w:hAnsi="Times New Roman" w:cs="Times New Roman"/>
          <w:color w:val="000000"/>
          <w:sz w:val="18"/>
          <w:szCs w:val="18"/>
        </w:rPr>
        <w:t>”</w:t>
      </w:r>
      <w:r>
        <w:rPr>
          <w:rFonts w:hint="eastAsia"/>
          <w:color w:val="000000"/>
          <w:sz w:val="18"/>
          <w:szCs w:val="18"/>
        </w:rPr>
        <w:t>为企业的发展基石，以</w:t>
      </w:r>
      <w:r>
        <w:rPr>
          <w:rFonts w:ascii="Times New Roman" w:hAnsi="Times New Roman" w:cs="Times New Roman"/>
          <w:color w:val="000000"/>
          <w:sz w:val="18"/>
          <w:szCs w:val="18"/>
        </w:rPr>
        <w:t>“</w:t>
      </w:r>
      <w:r>
        <w:rPr>
          <w:rFonts w:hint="eastAsia"/>
          <w:color w:val="000000"/>
          <w:sz w:val="18"/>
          <w:szCs w:val="18"/>
        </w:rPr>
        <w:t>高品位的企业</w:t>
      </w:r>
      <w:r>
        <w:rPr>
          <w:rFonts w:ascii="Times New Roman" w:hAnsi="Times New Roman" w:cs="Times New Roman"/>
          <w:color w:val="000000"/>
          <w:sz w:val="18"/>
          <w:szCs w:val="18"/>
        </w:rPr>
        <w:t>”</w:t>
      </w:r>
      <w:r>
        <w:rPr>
          <w:rFonts w:hint="eastAsia"/>
          <w:color w:val="000000"/>
          <w:sz w:val="18"/>
          <w:szCs w:val="18"/>
        </w:rPr>
        <w:t>和</w:t>
      </w:r>
      <w:r>
        <w:rPr>
          <w:rFonts w:ascii="Times New Roman" w:hAnsi="Times New Roman" w:cs="Times New Roman"/>
          <w:color w:val="000000"/>
          <w:sz w:val="18"/>
          <w:szCs w:val="18"/>
        </w:rPr>
        <w:t>“</w:t>
      </w:r>
      <w:r>
        <w:rPr>
          <w:rFonts w:hint="eastAsia"/>
          <w:color w:val="000000"/>
          <w:sz w:val="18"/>
          <w:szCs w:val="18"/>
        </w:rPr>
        <w:t>高品质的产品</w:t>
      </w:r>
      <w:r>
        <w:rPr>
          <w:rFonts w:ascii="Times New Roman" w:hAnsi="Times New Roman" w:cs="Times New Roman"/>
          <w:color w:val="000000"/>
          <w:sz w:val="18"/>
          <w:szCs w:val="18"/>
        </w:rPr>
        <w:t>”</w:t>
      </w:r>
      <w:r>
        <w:rPr>
          <w:rFonts w:hint="eastAsia"/>
          <w:color w:val="000000"/>
          <w:sz w:val="18"/>
          <w:szCs w:val="18"/>
        </w:rPr>
        <w:t>作为企业的经营理念，坚持</w:t>
      </w:r>
      <w:r>
        <w:rPr>
          <w:rFonts w:ascii="Times New Roman" w:hAnsi="Times New Roman" w:cs="Times New Roman"/>
          <w:color w:val="000000"/>
          <w:sz w:val="18"/>
          <w:szCs w:val="18"/>
        </w:rPr>
        <w:t> </w:t>
      </w:r>
      <w:r>
        <w:rPr>
          <w:rFonts w:hint="eastAsia"/>
          <w:color w:val="000000"/>
          <w:sz w:val="18"/>
          <w:szCs w:val="18"/>
        </w:rPr>
        <w:t>实施技术领先的差异化战略和强化管理降低成本的成本领先战略，以做精、做专、做实为原则，致力于打造国内领先，具有较强国际竞争力的钨制品公司。</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经营计划</w:t>
      </w:r>
      <w:r>
        <w:rPr>
          <w:rFonts w:ascii="Times New Roman" w:hAnsi="Times New Roman" w:cs="Times New Roman"/>
          <w:color w:val="000000"/>
          <w:sz w:val="18"/>
          <w:szCs w:val="18"/>
        </w:rPr>
        <w:t>:</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公司未来会持续推进产业转型升级，促进公司高质量发展。以科技创新为驱动力，提高企业盈利能力，改善产品结构，提升国际竞争力。</w:t>
      </w:r>
    </w:p>
    <w:p w:rsidR="00E22F4C" w:rsidRDefault="00E22F4C">
      <w:pPr>
        <w:pStyle w:val="a4"/>
        <w:divId w:val="1475832154"/>
        <w:rPr>
          <w:sz w:val="18"/>
          <w:szCs w:val="18"/>
        </w:rPr>
      </w:pPr>
      <w:r>
        <w:rPr>
          <w:rFonts w:hint="eastAsia"/>
          <w:sz w:val="18"/>
          <w:szCs w:val="18"/>
        </w:rPr>
        <w:t>1、新材料研发及成果产业化。公司将坚持自主技术创新，不断提升产品技术工艺水平，继续加大研发投入力度，充分利用本公司的人才和技术优势，不断增强公司的自主研发能力，并通过积极承担国家级任务、课题等研发项目，强化与业内知名院校、科研单位的合作，建立并完善具有竞争力的人员培养和研发制度，从人、财、物和制度等方面巩固公司的持续创新能力。未来公司将保持并进一步扩大公司在国内外钨行业的技术领先优势，同时在合金领域以及钨新材料领域将重点开发高技术含量、高附加值、具有自主知识产权和国际竞争力的新产品。</w:t>
      </w:r>
    </w:p>
    <w:p w:rsidR="00E22F4C" w:rsidRDefault="00E22F4C">
      <w:pPr>
        <w:pStyle w:val="a4"/>
        <w:divId w:val="1475832154"/>
        <w:rPr>
          <w:sz w:val="18"/>
          <w:szCs w:val="18"/>
        </w:rPr>
      </w:pPr>
      <w:r>
        <w:rPr>
          <w:rFonts w:hint="eastAsia"/>
          <w:sz w:val="18"/>
          <w:szCs w:val="18"/>
        </w:rPr>
        <w:t>2、打造智能化生产，提升发展质量。以设备智能化、生产过程自动化和管理信息化的深度融合为重点，加快碳化钨、硬质合金及精密工具生产线装备的更新改造，促进企业向高端制造升级。力争工艺技术装备、产品质量和主要技术经济指标达到国际先进水平，进一步强化公司各产品的市场占有率。</w:t>
      </w:r>
    </w:p>
    <w:p w:rsidR="00E22F4C" w:rsidRDefault="00E22F4C">
      <w:pPr>
        <w:pStyle w:val="a4"/>
        <w:divId w:val="1475832154"/>
        <w:rPr>
          <w:sz w:val="18"/>
          <w:szCs w:val="18"/>
        </w:rPr>
      </w:pPr>
      <w:r>
        <w:rPr>
          <w:rFonts w:hint="eastAsia"/>
          <w:sz w:val="18"/>
          <w:szCs w:val="18"/>
        </w:rPr>
        <w:t>3、加大高端制造投入，逐步实现进口替代。在高端硬质合金工具应用领域，国外优秀企业不仅掌握着全球主要市场，且拥有较大的定价权。公司控股子公司广东翔鹭精密制造有限公司将瞄准行业发展的科技前沿，逐步加大对下游终端应用领域的布局与投资，加强对产品的创意研发与新产品开发力度，不断研发技术含量高、质量稳定的产品，努力缩小与国际先进公司的差距，逐步实现进口替代。</w:t>
      </w:r>
    </w:p>
    <w:p w:rsidR="00E22F4C" w:rsidRDefault="00E22F4C">
      <w:pPr>
        <w:pStyle w:val="a4"/>
        <w:divId w:val="1475832154"/>
        <w:rPr>
          <w:sz w:val="18"/>
          <w:szCs w:val="18"/>
        </w:rPr>
      </w:pPr>
      <w:r>
        <w:rPr>
          <w:rFonts w:hint="eastAsia"/>
          <w:sz w:val="18"/>
          <w:szCs w:val="18"/>
        </w:rPr>
        <w:t>4、降本增效。公司将对各子、孙公司物资进行信息化、数字化分类管理，用数据分析对原材料、辅材的采购策略进行指导，优化库存结构，减少呆滞加快物料流转。运用ERP的数据分析，做好各生产中心的运营效率管理、作业周期管理，依据科学的数据对各业务职能部门制定合理的绩效考核标准，来逐步降低成本。</w:t>
      </w:r>
    </w:p>
    <w:p w:rsidR="00E22F4C" w:rsidRDefault="00E22F4C">
      <w:pPr>
        <w:pStyle w:val="a4"/>
        <w:divId w:val="1475832154"/>
        <w:rPr>
          <w:sz w:val="18"/>
          <w:szCs w:val="18"/>
        </w:rPr>
      </w:pPr>
      <w:r>
        <w:rPr>
          <w:rFonts w:hint="eastAsia"/>
          <w:sz w:val="18"/>
          <w:szCs w:val="18"/>
        </w:rPr>
        <w:t>5、营销网络建设。氧化钨、碳化钨粉及硬质合金产品公司会加大与现有客户的合作，利用现有的品牌及高端市场较高的市场占有率优势，进一步深化品牌战略，完善营销网络，巩固和提高产品的市场份额。精密切削工具制造类产品，公司在营销策略上，会由原来的大部分直销变为部分经销，广东翔鹭精密制造有限公司会加大经销力度，积极开发拓展市场，发展更多客户资源，加强企业竞争优势。</w:t>
      </w:r>
    </w:p>
    <w:p w:rsidR="00E22F4C" w:rsidRDefault="00E22F4C">
      <w:pPr>
        <w:pStyle w:val="a4"/>
        <w:divId w:val="1475832154"/>
        <w:rPr>
          <w:sz w:val="18"/>
          <w:szCs w:val="18"/>
        </w:rPr>
      </w:pPr>
      <w:r>
        <w:rPr>
          <w:rFonts w:hint="eastAsia"/>
          <w:sz w:val="18"/>
          <w:szCs w:val="18"/>
        </w:rPr>
        <w:t>6、强化安全生产意识，推进节能减排、防止污染。公司会不定期组织各级管理人员对法律法规的培训，同时不定期对各生产现场进行安环检查、整改，落实责任主体，提升安环意识。</w:t>
      </w:r>
    </w:p>
    <w:p w:rsidR="00E22F4C" w:rsidRDefault="00E22F4C">
      <w:pPr>
        <w:pStyle w:val="a4"/>
        <w:divId w:val="1475832154"/>
        <w:rPr>
          <w:sz w:val="18"/>
          <w:szCs w:val="18"/>
        </w:rPr>
      </w:pPr>
      <w:r>
        <w:rPr>
          <w:rFonts w:hint="eastAsia"/>
          <w:sz w:val="18"/>
          <w:szCs w:val="18"/>
        </w:rPr>
        <w:lastRenderedPageBreak/>
        <w:t>7、人力资源发展。公司始终将人才引进和培养放在企业管理的核心位置，加大招聘院校毕业生，以及聘请有经验的管理技术人才来增强公司的软实力。同时逐步优化人力资源管理体系，建立良性竞争机制和激励机制，助力公司未来发展。</w:t>
      </w:r>
    </w:p>
    <w:p w:rsidR="00E22F4C" w:rsidRDefault="00E22F4C">
      <w:pPr>
        <w:pStyle w:val="a4"/>
        <w:divId w:val="1475832154"/>
        <w:rPr>
          <w:sz w:val="18"/>
          <w:szCs w:val="18"/>
        </w:rPr>
      </w:pPr>
      <w:r>
        <w:rPr>
          <w:rFonts w:hint="eastAsia"/>
          <w:sz w:val="18"/>
          <w:szCs w:val="18"/>
        </w:rPr>
        <w:t>8、未来资金需求与使用计划.公司将继续保持与金融机构的良好合作，保证融资渠道畅通，积极利用各种融资工具，优化融资结构，拓宽新融资渠道，控制融资成本；强化财务管理，防控资金风险。</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（三）可能遇到的风险及硬度措施</w:t>
      </w:r>
    </w:p>
    <w:p w:rsidR="00E22F4C" w:rsidRDefault="00E22F4C">
      <w:pPr>
        <w:pStyle w:val="a4"/>
        <w:spacing w:before="0" w:beforeAutospacing="0" w:after="0" w:afterAutospacing="0"/>
        <w:jc w:val="both"/>
        <w:divId w:val="1475832154"/>
        <w:rPr>
          <w:sz w:val="18"/>
          <w:szCs w:val="18"/>
        </w:rPr>
      </w:pPr>
      <w:r>
        <w:rPr>
          <w:rFonts w:ascii="Times New Roman" w:hAnsi="Times New Roman" w:cs="Times New Roman"/>
          <w:color w:val="000000"/>
          <w:sz w:val="18"/>
          <w:szCs w:val="18"/>
        </w:rPr>
        <w:t>1</w:t>
      </w:r>
      <w:r>
        <w:rPr>
          <w:rFonts w:hint="eastAsia"/>
          <w:color w:val="000000"/>
          <w:sz w:val="18"/>
          <w:szCs w:val="18"/>
        </w:rPr>
        <w:t>、宏观经济波动对公司营业绩的影响</w:t>
      </w:r>
      <w:r>
        <w:rPr>
          <w:rFonts w:ascii="Times New Roman" w:hAnsi="Times New Roman" w:cs="Times New Roman"/>
          <w:color w:val="000000"/>
          <w:sz w:val="18"/>
          <w:szCs w:val="18"/>
        </w:rPr>
        <w:t>    </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钨产品广泛应用于装备制造、机械加工、冶金矿山、军工和电子通讯行业等各个行业，但如果公司主要客户所在国家经济出现周期性大幅波动，将对钨产品市场需求以及公司应收账款的回收产生较大影响，进而使得公司经营业绩受到影响。</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应对措施：公司将密切关注宏观经济与市场环境变化，积极拓宽销售渠道，不定期关注公司客户的经营和信用情况，加大销售回款力度。同时积极开发技术领先、质量稳定的优势产品，加快高附加值硬质合金、刀具产品的研发、生产与销售，降低宏观经济下行或市场需求减少对公司业绩的影响。</w:t>
      </w:r>
    </w:p>
    <w:p w:rsidR="00E22F4C" w:rsidRDefault="00E22F4C">
      <w:pPr>
        <w:pStyle w:val="a4"/>
        <w:spacing w:before="0" w:beforeAutospacing="0" w:after="0" w:afterAutospacing="0"/>
        <w:jc w:val="both"/>
        <w:divId w:val="1475832154"/>
        <w:rPr>
          <w:sz w:val="18"/>
          <w:szCs w:val="18"/>
        </w:rPr>
      </w:pPr>
      <w:r>
        <w:rPr>
          <w:rFonts w:ascii="Times New Roman" w:hAnsi="Times New Roman" w:cs="Times New Roman"/>
          <w:color w:val="000000"/>
          <w:sz w:val="18"/>
          <w:szCs w:val="18"/>
        </w:rPr>
        <w:t>2</w:t>
      </w:r>
      <w:r>
        <w:rPr>
          <w:rFonts w:hint="eastAsia"/>
          <w:color w:val="000000"/>
          <w:sz w:val="18"/>
          <w:szCs w:val="18"/>
        </w:rPr>
        <w:t>、原材料供应及价格风险</w:t>
      </w:r>
      <w:r>
        <w:rPr>
          <w:rFonts w:ascii="Times New Roman" w:hAnsi="Times New Roman" w:cs="Times New Roman"/>
          <w:color w:val="000000"/>
          <w:sz w:val="18"/>
          <w:szCs w:val="18"/>
        </w:rPr>
        <w:t>   </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公司主营业务为钨制品的开发、生产与销售，主要原料为钨精矿。公司生产所需的钨精矿通过外购获得，公司产品的销售价格根据钨精矿价格变动情况相应调整，从而降低了原材料价格波动对公司经营业绩的影响，但如果未来钨精矿价格发生剧烈变化而钨制品价格未能同步变动，将会对公司主要产品的毛利率水平及经营业绩产生影响。此外，公司向多家供应商外购钨精矿，不存在依赖某一或少数供应商的情形，但由于该等原料采购合同多为按批采购，合同采购期限一般不超过</w:t>
      </w:r>
      <w:r>
        <w:rPr>
          <w:rFonts w:ascii="Times New Roman" w:hAnsi="Times New Roman" w:cs="Times New Roman"/>
          <w:color w:val="000000"/>
          <w:sz w:val="18"/>
          <w:szCs w:val="18"/>
        </w:rPr>
        <w:t>1</w:t>
      </w:r>
      <w:r>
        <w:rPr>
          <w:rFonts w:hint="eastAsia"/>
          <w:color w:val="000000"/>
          <w:sz w:val="18"/>
          <w:szCs w:val="18"/>
        </w:rPr>
        <w:t>年，如果未来市场对钨精矿的需求发生爆发式增长，或国家突然压缩钨精矿开采配额，公司存在不能在合理价格范围内确保外购原材料稳定供应的风险。</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应对措施：公司定期对钨精矿、</w:t>
      </w:r>
      <w:r>
        <w:rPr>
          <w:rFonts w:ascii="Times New Roman" w:hAnsi="Times New Roman" w:cs="Times New Roman"/>
          <w:color w:val="000000"/>
          <w:sz w:val="18"/>
          <w:szCs w:val="18"/>
        </w:rPr>
        <w:t>APT</w:t>
      </w:r>
      <w:r>
        <w:rPr>
          <w:rFonts w:hint="eastAsia"/>
          <w:color w:val="000000"/>
          <w:sz w:val="18"/>
          <w:szCs w:val="18"/>
        </w:rPr>
        <w:t>等原材料价格市场价格、供给进行分析，结合销售对后端需求的趋势判断，紧密关注原材料价格波动，充分利用行业经验，积极调整原材料库存，保证正常生产需要，降低价格波动对公司经营业绩的影响。</w:t>
      </w:r>
    </w:p>
    <w:p w:rsidR="00E22F4C" w:rsidRDefault="00E22F4C">
      <w:pPr>
        <w:pStyle w:val="a4"/>
        <w:spacing w:before="0" w:beforeAutospacing="0" w:after="0" w:afterAutospacing="0"/>
        <w:jc w:val="both"/>
        <w:divId w:val="1475832154"/>
        <w:rPr>
          <w:sz w:val="18"/>
          <w:szCs w:val="18"/>
        </w:rPr>
      </w:pPr>
      <w:r>
        <w:rPr>
          <w:rFonts w:ascii="Times New Roman" w:hAnsi="Times New Roman" w:cs="Times New Roman"/>
          <w:color w:val="000000"/>
          <w:sz w:val="18"/>
          <w:szCs w:val="18"/>
        </w:rPr>
        <w:t>3</w:t>
      </w:r>
      <w:r>
        <w:rPr>
          <w:rFonts w:hint="eastAsia"/>
          <w:color w:val="000000"/>
          <w:sz w:val="18"/>
          <w:szCs w:val="18"/>
        </w:rPr>
        <w:t>、出口贸易资格风险</w:t>
      </w:r>
      <w:r>
        <w:rPr>
          <w:rFonts w:ascii="Times New Roman" w:hAnsi="Times New Roman" w:cs="Times New Roman"/>
          <w:color w:val="000000"/>
          <w:sz w:val="18"/>
          <w:szCs w:val="18"/>
        </w:rPr>
        <w:t>   </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我国属钨资源大国和钨消费大国，目前我国钨制品的产量、出口量和消费量均位居世界第一位。但由于钨是一种不可再生资源，国家对钨行业的各个环节（开采、冶炼、经营、出口等）均采取了较为严格的管理。商务部对钨品直接出口企业资格制定非常严格的标准。公司是</w:t>
      </w:r>
      <w:r>
        <w:rPr>
          <w:rFonts w:ascii="Times New Roman" w:hAnsi="Times New Roman" w:cs="Times New Roman"/>
          <w:color w:val="000000"/>
          <w:sz w:val="18"/>
          <w:szCs w:val="18"/>
        </w:rPr>
        <w:t>16</w:t>
      </w:r>
      <w:r>
        <w:rPr>
          <w:rFonts w:hint="eastAsia"/>
          <w:color w:val="000000"/>
          <w:sz w:val="18"/>
          <w:szCs w:val="18"/>
        </w:rPr>
        <w:t>家获得钨品直接出口资格的企业之一。目前公司部分产品销往国外，如果国家对出口企业资格标准进行大幅调整，则可能使公司出口业务受到影响，从而影响公司的经营业绩。</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应对措施：积极关注政策面变化，做好公司日常经营工作中的各项合规性管控；经营层面加大国内优质客户的维护工作，拓宽销售渠道。</w:t>
      </w:r>
    </w:p>
    <w:p w:rsidR="00E22F4C" w:rsidRDefault="00E22F4C">
      <w:pPr>
        <w:pStyle w:val="a4"/>
        <w:spacing w:before="0" w:beforeAutospacing="0" w:after="0" w:afterAutospacing="0"/>
        <w:jc w:val="both"/>
        <w:divId w:val="1475832154"/>
        <w:rPr>
          <w:sz w:val="18"/>
          <w:szCs w:val="18"/>
        </w:rPr>
      </w:pPr>
      <w:r>
        <w:rPr>
          <w:rFonts w:ascii="Times New Roman" w:hAnsi="Times New Roman" w:cs="Times New Roman"/>
          <w:color w:val="000000"/>
          <w:sz w:val="18"/>
          <w:szCs w:val="18"/>
        </w:rPr>
        <w:t>4</w:t>
      </w:r>
      <w:r>
        <w:rPr>
          <w:rFonts w:hint="eastAsia"/>
          <w:color w:val="000000"/>
          <w:sz w:val="18"/>
          <w:szCs w:val="18"/>
        </w:rPr>
        <w:t>、汇率波动风险</w:t>
      </w:r>
      <w:r>
        <w:rPr>
          <w:rFonts w:ascii="Times New Roman" w:hAnsi="Times New Roman" w:cs="Times New Roman"/>
          <w:color w:val="000000"/>
          <w:sz w:val="18"/>
          <w:szCs w:val="18"/>
        </w:rPr>
        <w:t>     </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由于公司出口量占一定比例，汇率变动将对公司的经营业绩产生一定的影响。</w:t>
      </w:r>
    </w:p>
    <w:p w:rsidR="00E22F4C" w:rsidRDefault="00E22F4C">
      <w:pPr>
        <w:pStyle w:val="a4"/>
        <w:spacing w:before="0" w:beforeAutospacing="0" w:after="0" w:afterAutospacing="0"/>
        <w:jc w:val="both"/>
        <w:divId w:val="1475832154"/>
        <w:rPr>
          <w:sz w:val="18"/>
          <w:szCs w:val="18"/>
        </w:rPr>
      </w:pPr>
      <w:r>
        <w:rPr>
          <w:rFonts w:hint="eastAsia"/>
          <w:color w:val="000000"/>
          <w:sz w:val="18"/>
          <w:szCs w:val="18"/>
        </w:rPr>
        <w:t>应对措施：密切关注央行的货币政策，积极关注国际市场汇率变化及走势；加强与金融机构的合作，通过锁定汇率等方式，减少汇率波动的影响。</w:t>
      </w:r>
    </w:p>
    <w:p w:rsidR="00E22F4C" w:rsidRDefault="00E22F4C">
      <w:pPr>
        <w:pStyle w:val="a4"/>
        <w:spacing w:before="0" w:beforeAutospacing="0" w:after="0" w:afterAutospacing="0"/>
        <w:jc w:val="both"/>
        <w:divId w:val="1475832154"/>
        <w:rPr>
          <w:sz w:val="18"/>
          <w:szCs w:val="18"/>
        </w:rPr>
      </w:pPr>
      <w:r>
        <w:rPr>
          <w:rFonts w:ascii="Calibri" w:hAnsi="Calibri" w:cs="Calibri"/>
          <w:sz w:val="18"/>
          <w:szCs w:val="18"/>
        </w:rPr>
        <w:t>       </w:t>
      </w:r>
      <w:r>
        <w:rPr>
          <w:rFonts w:hint="eastAsia"/>
          <w:color w:val="000000"/>
          <w:sz w:val="18"/>
          <w:szCs w:val="18"/>
        </w:rPr>
        <w:t>2023年，是国家引领制造业高质量发展的启动之年。公司将坚持自主技术创新，充分利用自身的人才和技术优势，不断增强公司的自主研发能力</w:t>
      </w:r>
      <w:r>
        <w:rPr>
          <w:rFonts w:hint="eastAsia"/>
          <w:sz w:val="18"/>
          <w:szCs w:val="18"/>
        </w:rPr>
        <w:t>，目前，公司已在新产品研发方面有了较大突破，为新产品的量产打下了坚实的基础</w:t>
      </w:r>
      <w:r>
        <w:rPr>
          <w:rFonts w:hint="eastAsia"/>
          <w:color w:val="000000"/>
          <w:sz w:val="18"/>
          <w:szCs w:val="18"/>
        </w:rPr>
        <w:t>。同时，亦将以设备智能化、生产自动化、办公信息化的高效管理模式，以创新的姿态来把握市场复苏所带来的难得机遇。2023年，我们将踔厉奋发，砥砺前行，使得今年的业绩能扭亏为盈，力争为股东创造更多的利润，为地区的高质量发展做出更多的贡献。</w:t>
      </w:r>
    </w:p>
    <w:p w:rsidR="00E22F4C" w:rsidRDefault="00381575">
      <w:pPr>
        <w:pStyle w:val="2"/>
        <w:spacing w:before="300" w:after="300" w:line="320" w:lineRule="exact"/>
        <w:rPr>
          <w:rFonts w:ascii="宋体" w:eastAsia="宋体" w:hAnsi="宋体" w:cs="宋体"/>
          <w:b/>
          <w:bCs/>
          <w:sz w:val="24"/>
          <w:szCs w:val="24"/>
        </w:rPr>
      </w:pPr>
      <w:bookmarkStart w:id="53" w:name="_Toc988942"/>
      <w:r>
        <w:rPr>
          <w:rFonts w:ascii="宋体" w:eastAsia="宋体" w:hAnsi="宋体" w:cs="宋体"/>
          <w:b/>
          <w:bCs/>
          <w:sz w:val="24"/>
          <w:szCs w:val="24"/>
        </w:rPr>
        <w:t>十二、报告期内接待调研、沟通、采访等活动</w:t>
      </w:r>
      <w:bookmarkEnd w:id="5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接待时间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接待地点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接待方式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接待对象类型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接待对象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谈论的主要内容及提供的资</w:t>
            </w:r>
            <w:r>
              <w:rPr>
                <w:rFonts w:ascii="宋体" w:eastAsia="宋体" w:hAnsi="宋体" w:cs="宋体"/>
                <w:sz w:val="18"/>
                <w:szCs w:val="18"/>
              </w:rPr>
              <w:lastRenderedPageBreak/>
              <w:t>料</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调研的基本情况索引</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2022年09月22日</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公司会议室、全景网</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股东及投资者</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公司的生产经营情况</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巨潮资讯网（www.cninfo.com.cn）《投资者关系活动记录表》</w:t>
            </w:r>
          </w:p>
        </w:tc>
      </w:tr>
    </w:tbl>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54" w:name="_Toc988943"/>
      <w:r>
        <w:rPr>
          <w:rFonts w:ascii="宋体" w:eastAsia="宋体" w:hAnsi="宋体" w:cs="宋体"/>
          <w:b/>
          <w:bCs/>
          <w:sz w:val="32"/>
          <w:szCs w:val="32"/>
        </w:rPr>
        <w:lastRenderedPageBreak/>
        <w:t>第四节 公司治理</w:t>
      </w:r>
      <w:bookmarkEnd w:id="54"/>
    </w:p>
    <w:p w:rsidR="00E22F4C" w:rsidRDefault="00381575">
      <w:pPr>
        <w:pStyle w:val="2"/>
        <w:spacing w:before="300" w:after="300" w:line="320" w:lineRule="exact"/>
        <w:rPr>
          <w:rFonts w:ascii="宋体" w:eastAsia="宋体" w:hAnsi="宋体" w:cs="宋体"/>
          <w:b/>
          <w:bCs/>
          <w:sz w:val="24"/>
          <w:szCs w:val="24"/>
        </w:rPr>
      </w:pPr>
      <w:bookmarkStart w:id="55" w:name="_Toc988944"/>
      <w:r>
        <w:rPr>
          <w:rFonts w:ascii="宋体" w:eastAsia="宋体" w:hAnsi="宋体" w:cs="宋体"/>
          <w:b/>
          <w:bCs/>
          <w:sz w:val="24"/>
          <w:szCs w:val="24"/>
        </w:rPr>
        <w:t>一、公司治理的基本状况</w:t>
      </w:r>
      <w:bookmarkEnd w:id="55"/>
    </w:p>
    <w:p w:rsidR="00E22F4C" w:rsidRDefault="00E22F4C">
      <w:pPr>
        <w:pStyle w:val="a4"/>
        <w:spacing w:before="0" w:beforeAutospacing="0" w:after="0" w:afterAutospacing="0"/>
        <w:divId w:val="828600771"/>
        <w:rPr>
          <w:sz w:val="18"/>
          <w:szCs w:val="18"/>
        </w:rPr>
      </w:pPr>
      <w:r>
        <w:rPr>
          <w:rFonts w:hint="eastAsia"/>
          <w:color w:val="000000"/>
          <w:sz w:val="18"/>
          <w:szCs w:val="18"/>
        </w:rPr>
        <w:t>报告期内，公司根据《公司法》、《证券法》并结合自身实际情况及发展需要，修订了《公司章程》等制度，进一步完善内控管理制度，规范股东大会和董事会运作，强化公司董事（包括独立董事）的履职意识和工作细则；公司董事会、监事会和高管人员勤勉尽责，诚信守法，没有出现损害公司及股东利益的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公司治理的实际状况与法律、行政法规和中国证监会发布的关于上市公司治理的规定是否存在重大差异</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公司治理的实际状况与法律、行政法规和中国证监会发布的关于上市公司治理的规定不存在重大差异。</w:t>
      </w:r>
    </w:p>
    <w:p w:rsidR="00E22F4C" w:rsidRDefault="00381575">
      <w:pPr>
        <w:pStyle w:val="2"/>
        <w:spacing w:before="300" w:after="300" w:line="320" w:lineRule="exact"/>
        <w:rPr>
          <w:rFonts w:ascii="宋体" w:eastAsia="宋体" w:hAnsi="宋体" w:cs="宋体"/>
          <w:b/>
          <w:bCs/>
          <w:sz w:val="24"/>
          <w:szCs w:val="24"/>
        </w:rPr>
      </w:pPr>
      <w:bookmarkStart w:id="56" w:name="_Toc988945"/>
      <w:r>
        <w:rPr>
          <w:rFonts w:ascii="宋体" w:eastAsia="宋体" w:hAnsi="宋体" w:cs="宋体"/>
          <w:b/>
          <w:bCs/>
          <w:sz w:val="24"/>
          <w:szCs w:val="24"/>
        </w:rPr>
        <w:t>二、公司相对于控股股东、实际控制人在保证公司资产、人员、财务、机构、业务等方面的独立情况</w:t>
      </w:r>
      <w:bookmarkEnd w:id="56"/>
    </w:p>
    <w:p w:rsidR="00E22F4C" w:rsidRDefault="00E22F4C">
      <w:pPr>
        <w:pStyle w:val="a4"/>
        <w:spacing w:before="0" w:beforeAutospacing="0" w:after="0" w:afterAutospacing="0"/>
        <w:divId w:val="155272138"/>
        <w:rPr>
          <w:sz w:val="18"/>
          <w:szCs w:val="18"/>
        </w:rPr>
      </w:pPr>
      <w:r>
        <w:rPr>
          <w:rFonts w:hint="eastAsia"/>
          <w:color w:val="000000"/>
          <w:sz w:val="18"/>
          <w:szCs w:val="18"/>
        </w:rPr>
        <w:t>报告期，公司严格按照《公司法》和《公司章程》等法律、法规及规章制度规范运作，建立健全公司的法人治理结构。公司与控股股东、实际控制人在资产、人员、财务、机构、业务等方面完全分开，具有独立完整的业务及自主经营能力。</w:t>
      </w:r>
      <w:r>
        <w:rPr>
          <w:rFonts w:ascii="Times New Roman" w:hAnsi="Times New Roman" w:cs="Times New Roman"/>
          <w:color w:val="000000"/>
          <w:sz w:val="18"/>
          <w:szCs w:val="18"/>
        </w:rPr>
        <w:t> </w:t>
      </w:r>
    </w:p>
    <w:p w:rsidR="00E22F4C" w:rsidRDefault="00E22F4C">
      <w:pPr>
        <w:pStyle w:val="a4"/>
        <w:spacing w:before="0" w:beforeAutospacing="0" w:after="0" w:afterAutospacing="0"/>
        <w:divId w:val="155272138"/>
        <w:rPr>
          <w:sz w:val="18"/>
          <w:szCs w:val="18"/>
        </w:rPr>
      </w:pPr>
      <w:r>
        <w:rPr>
          <w:rFonts w:ascii="Times New Roman" w:hAnsi="Times New Roman" w:cs="Times New Roman"/>
          <w:color w:val="000000"/>
          <w:sz w:val="18"/>
          <w:szCs w:val="18"/>
        </w:rPr>
        <w:t>1</w:t>
      </w:r>
      <w:r>
        <w:rPr>
          <w:rFonts w:hint="eastAsia"/>
          <w:color w:val="000000"/>
          <w:sz w:val="18"/>
          <w:szCs w:val="18"/>
        </w:rPr>
        <w:t>、业务独立情况：公司具有面向市场独立开展业务的能力，具有独立完整的业务体系及面向市场的自主经营能力。</w:t>
      </w:r>
    </w:p>
    <w:p w:rsidR="00E22F4C" w:rsidRDefault="00E22F4C">
      <w:pPr>
        <w:pStyle w:val="a4"/>
        <w:spacing w:before="0" w:beforeAutospacing="0" w:after="0" w:afterAutospacing="0"/>
        <w:divId w:val="155272138"/>
        <w:rPr>
          <w:sz w:val="18"/>
          <w:szCs w:val="18"/>
        </w:rPr>
      </w:pPr>
      <w:r>
        <w:rPr>
          <w:rFonts w:ascii="Times New Roman" w:hAnsi="Times New Roman" w:cs="Times New Roman"/>
          <w:color w:val="000000"/>
          <w:sz w:val="18"/>
          <w:szCs w:val="18"/>
        </w:rPr>
        <w:t>2</w:t>
      </w:r>
      <w:r>
        <w:rPr>
          <w:rFonts w:hint="eastAsia"/>
          <w:color w:val="000000"/>
          <w:sz w:val="18"/>
          <w:szCs w:val="18"/>
        </w:rPr>
        <w:t>、资产独立完整情况：公司与控股股东之间资产关系明晰，不存在任何产权纠纷。公司具有完整独立的法人财产，公司对所有的资产有完全的控制支配权，不存在资产、资金被控股股东占用而损害公司利益的情况。</w:t>
      </w:r>
    </w:p>
    <w:p w:rsidR="00E22F4C" w:rsidRDefault="00E22F4C">
      <w:pPr>
        <w:pStyle w:val="a4"/>
        <w:spacing w:before="0" w:beforeAutospacing="0" w:after="0" w:afterAutospacing="0"/>
        <w:divId w:val="155272138"/>
        <w:rPr>
          <w:sz w:val="18"/>
          <w:szCs w:val="18"/>
        </w:rPr>
      </w:pPr>
      <w:r>
        <w:rPr>
          <w:rFonts w:ascii="Times New Roman" w:hAnsi="Times New Roman" w:cs="Times New Roman"/>
          <w:color w:val="000000"/>
          <w:sz w:val="18"/>
          <w:szCs w:val="18"/>
        </w:rPr>
        <w:t>3</w:t>
      </w:r>
      <w:r>
        <w:rPr>
          <w:rFonts w:hint="eastAsia"/>
          <w:color w:val="000000"/>
          <w:sz w:val="18"/>
          <w:szCs w:val="18"/>
        </w:rPr>
        <w:t>、人员独立情况：公司在劳动、人事及工资管理等各方面均独立于控股股东。公司总裁、财务负责人、董事会秘书等高级管理人员均在公司领取薪酬，未在控股股东或股东关联单位担任除董事、监事以外的任何职务。</w:t>
      </w:r>
      <w:r>
        <w:rPr>
          <w:rFonts w:ascii="Times New Roman" w:hAnsi="Times New Roman" w:cs="Times New Roman"/>
          <w:color w:val="000000"/>
          <w:sz w:val="18"/>
          <w:szCs w:val="18"/>
        </w:rPr>
        <w:t> </w:t>
      </w:r>
    </w:p>
    <w:p w:rsidR="00E22F4C" w:rsidRDefault="00E22F4C">
      <w:pPr>
        <w:pStyle w:val="a4"/>
        <w:spacing w:before="0" w:beforeAutospacing="0" w:after="0" w:afterAutospacing="0"/>
        <w:divId w:val="155272138"/>
        <w:rPr>
          <w:sz w:val="18"/>
          <w:szCs w:val="18"/>
        </w:rPr>
      </w:pPr>
      <w:r>
        <w:rPr>
          <w:rFonts w:ascii="Times New Roman" w:hAnsi="Times New Roman" w:cs="Times New Roman"/>
          <w:color w:val="000000"/>
          <w:sz w:val="18"/>
          <w:szCs w:val="18"/>
        </w:rPr>
        <w:t>4</w:t>
      </w:r>
      <w:r>
        <w:rPr>
          <w:rFonts w:hint="eastAsia"/>
          <w:color w:val="000000"/>
          <w:sz w:val="18"/>
          <w:szCs w:val="18"/>
        </w:rPr>
        <w:t>、机构的独立情况：公司设立了健全的组织结构体系，股东大会、董事会、监事会、经营管理层及各职能部门均独立运作，职责明确，不存在与控股股东及其职能部门之间的从属关系。</w:t>
      </w:r>
      <w:r>
        <w:rPr>
          <w:rFonts w:ascii="Times New Roman" w:hAnsi="Times New Roman" w:cs="Times New Roman"/>
          <w:color w:val="000000"/>
          <w:sz w:val="18"/>
          <w:szCs w:val="18"/>
        </w:rPr>
        <w:t> </w:t>
      </w:r>
    </w:p>
    <w:p w:rsidR="00E22F4C" w:rsidRDefault="00E22F4C">
      <w:pPr>
        <w:pStyle w:val="a4"/>
        <w:spacing w:before="0" w:beforeAutospacing="0" w:after="0" w:afterAutospacing="0"/>
        <w:divId w:val="155272138"/>
        <w:rPr>
          <w:sz w:val="18"/>
          <w:szCs w:val="18"/>
        </w:rPr>
      </w:pPr>
      <w:r>
        <w:rPr>
          <w:rFonts w:ascii="Times New Roman" w:hAnsi="Times New Roman" w:cs="Times New Roman"/>
          <w:color w:val="000000"/>
          <w:sz w:val="18"/>
          <w:szCs w:val="18"/>
        </w:rPr>
        <w:t>5</w:t>
      </w:r>
      <w:r>
        <w:rPr>
          <w:rFonts w:hint="eastAsia"/>
          <w:color w:val="000000"/>
          <w:sz w:val="18"/>
          <w:szCs w:val="18"/>
        </w:rPr>
        <w:t>、财务独立情况：公司设立了独立的财务部门，配备了专门的财务人员，并建立健全了独立的财务核算体系，制定了完善的财务会计制度和财务管理体系，独立进行财务决策，独立在银行开设账户并依法独立纳税。</w:t>
      </w:r>
      <w:r>
        <w:rPr>
          <w:rFonts w:ascii="Times New Roman" w:hAnsi="Times New Roman" w:cs="Times New Roman"/>
          <w:color w:val="000000"/>
          <w:sz w:val="18"/>
          <w:szCs w:val="18"/>
        </w:rPr>
        <w:t> </w:t>
      </w:r>
    </w:p>
    <w:p w:rsidR="00E22F4C" w:rsidRDefault="00381575">
      <w:pPr>
        <w:pStyle w:val="2"/>
        <w:spacing w:before="300" w:after="300" w:line="320" w:lineRule="exact"/>
        <w:rPr>
          <w:rFonts w:ascii="宋体" w:eastAsia="宋体" w:hAnsi="宋体" w:cs="宋体"/>
          <w:b/>
          <w:bCs/>
          <w:sz w:val="24"/>
          <w:szCs w:val="24"/>
        </w:rPr>
      </w:pPr>
      <w:bookmarkStart w:id="57" w:name="_Toc988946"/>
      <w:r>
        <w:rPr>
          <w:rFonts w:ascii="宋体" w:eastAsia="宋体" w:hAnsi="宋体" w:cs="宋体"/>
          <w:b/>
          <w:bCs/>
          <w:sz w:val="24"/>
          <w:szCs w:val="24"/>
        </w:rPr>
        <w:t>三、同业竞争情况</w:t>
      </w:r>
      <w:bookmarkEnd w:id="57"/>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58" w:name="_Toc988947"/>
      <w:r>
        <w:rPr>
          <w:rFonts w:ascii="宋体" w:eastAsia="宋体" w:hAnsi="宋体" w:cs="宋体"/>
          <w:b/>
          <w:bCs/>
          <w:sz w:val="24"/>
          <w:szCs w:val="24"/>
        </w:rPr>
        <w:t>四、报告期内召开的年度股东大会和临时股东大会的有关情况</w:t>
      </w:r>
      <w:bookmarkEnd w:id="58"/>
    </w:p>
    <w:p w:rsidR="00E22F4C" w:rsidRDefault="00381575">
      <w:pPr>
        <w:pStyle w:val="3"/>
        <w:spacing w:line="280" w:lineRule="exact"/>
        <w:jc w:val="left"/>
        <w:rPr>
          <w:rFonts w:ascii="宋体" w:hAnsi="宋体" w:cs="宋体"/>
          <w:b/>
          <w:bCs/>
        </w:rPr>
      </w:pPr>
      <w:bookmarkStart w:id="59" w:name="_Toc988948"/>
      <w:r>
        <w:rPr>
          <w:rFonts w:ascii="宋体" w:hAnsi="宋体" w:cs="宋体"/>
          <w:b/>
          <w:bCs/>
        </w:rPr>
        <w:t>1、本报告期股东大会情况</w:t>
      </w:r>
      <w:bookmarkEnd w:id="59"/>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会议届次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会议类型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投资者参与比例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会议决议</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2022年第一次临时股东大会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45.81%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2022年01月12日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2022年01月13日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详见巨潮资讯网（www.cninfo.com.cn）的《2022年第一次临时股东大会决议公告》</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2021年年度股东大会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年度股东大会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46.94%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2022年05月20日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2022年05月21日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详见巨潮资讯网（www.cninfo.com.cn）的《2021</w:t>
            </w:r>
            <w:r>
              <w:rPr>
                <w:rFonts w:ascii="宋体" w:eastAsia="宋体" w:hAnsi="宋体" w:cs="宋体"/>
                <w:sz w:val="18"/>
                <w:szCs w:val="18"/>
              </w:rPr>
              <w:lastRenderedPageBreak/>
              <w:t>年年度股东大会决议公告》</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2022年第二次临时股东大会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46.93%</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2022年09月09日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2022年09月10日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详见巨潮资讯网（www.cninfo.com.cn）的《2022年第二次临时股东大会决议公告》</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2022年第三次临时股东大会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45.81%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2022年12月01日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2022年12月02日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详见巨潮资讯网（www.cninfo.com.cn）的《2022年第三次临时股东大会决议公告》</w:t>
            </w:r>
          </w:p>
        </w:tc>
      </w:tr>
    </w:tbl>
    <w:p w:rsidR="00E22F4C" w:rsidRDefault="00381575">
      <w:pPr>
        <w:pStyle w:val="3"/>
        <w:spacing w:line="280" w:lineRule="exact"/>
        <w:jc w:val="left"/>
        <w:rPr>
          <w:rFonts w:ascii="宋体" w:hAnsi="宋体" w:cs="宋体"/>
          <w:b/>
          <w:bCs/>
        </w:rPr>
      </w:pPr>
      <w:bookmarkStart w:id="60" w:name="_Toc988949"/>
      <w:r>
        <w:rPr>
          <w:rFonts w:ascii="宋体" w:hAnsi="宋体" w:cs="宋体"/>
          <w:b/>
          <w:bCs/>
        </w:rPr>
        <w:t>2、表决权恢复的优先股股东请求召开临时股东大会</w:t>
      </w:r>
      <w:bookmarkEnd w:id="6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61" w:name="_Toc988950"/>
      <w:r>
        <w:rPr>
          <w:rFonts w:ascii="宋体" w:eastAsia="宋体" w:hAnsi="宋体" w:cs="宋体"/>
          <w:b/>
          <w:bCs/>
          <w:sz w:val="24"/>
          <w:szCs w:val="24"/>
        </w:rPr>
        <w:t>五、董事、监事和高级管理人员情况</w:t>
      </w:r>
      <w:bookmarkEnd w:id="61"/>
    </w:p>
    <w:p w:rsidR="00E22F4C" w:rsidRDefault="00381575">
      <w:pPr>
        <w:pStyle w:val="3"/>
        <w:spacing w:line="280" w:lineRule="exact"/>
        <w:jc w:val="left"/>
        <w:rPr>
          <w:rFonts w:ascii="宋体" w:hAnsi="宋体" w:cs="宋体"/>
          <w:b/>
          <w:bCs/>
        </w:rPr>
      </w:pPr>
      <w:bookmarkStart w:id="62" w:name="_Toc988951"/>
      <w:r>
        <w:rPr>
          <w:rFonts w:ascii="宋体" w:hAnsi="宋体" w:cs="宋体"/>
          <w:b/>
          <w:bCs/>
        </w:rPr>
        <w:t>1、基本情况</w:t>
      </w:r>
      <w:bookmarkEnd w:id="62"/>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2"/>
        <w:gridCol w:w="742"/>
        <w:gridCol w:w="742"/>
        <w:gridCol w:w="742"/>
        <w:gridCol w:w="742"/>
        <w:gridCol w:w="742"/>
        <w:gridCol w:w="741"/>
        <w:gridCol w:w="741"/>
        <w:gridCol w:w="741"/>
        <w:gridCol w:w="741"/>
        <w:gridCol w:w="741"/>
        <w:gridCol w:w="741"/>
        <w:gridCol w:w="741"/>
      </w:tblGrid>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姓名</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职务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任职状态</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性别</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年龄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任期起始日期</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任期终止日期</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期初持股数（股）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本期增持股份数量（股）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本期减持股份数量（股）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其他增减变动（股）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期末持股数（股）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股份增减变动的原因</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董事长</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2012年06月22日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51,836,400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51,836,400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陈伟东</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董事、总经理</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2012年06月22日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12,562,970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12,562,970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陈伟儿</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董事、副总经理</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2012年06月22日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13,682,115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13,682,115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周伟平</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董事、副总经理</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2018年06月29日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264,000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264,000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廖俊雄</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2018年06月29日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肖连生</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2018年06月29日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高再荣</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2018年06</w:t>
            </w:r>
            <w:r>
              <w:rPr>
                <w:rFonts w:ascii="宋体" w:eastAsia="宋体" w:hAnsi="宋体" w:cs="宋体"/>
                <w:sz w:val="18"/>
                <w:szCs w:val="18"/>
              </w:rPr>
              <w:lastRenderedPageBreak/>
              <w:t>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2024年06</w:t>
            </w:r>
            <w:r>
              <w:rPr>
                <w:rFonts w:ascii="宋体" w:eastAsia="宋体" w:hAnsi="宋体" w:cs="宋体"/>
                <w:sz w:val="18"/>
                <w:szCs w:val="18"/>
              </w:rPr>
              <w:lastRenderedPageBreak/>
              <w:t>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姚明钦</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监事会主席</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2012年06月29日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付胜</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2012年06月29日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卢勇甘</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2017年09月08日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戴湘平</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副总经理</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2018年06月29日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270,400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270,400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李盛意</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董事会秘书、副总经理</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2012年06月29日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415,200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415,200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郑丽芳</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财务总监</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2021年06月29日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2024年06月28日</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79,131,285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79,131,285</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报告期是否存在任期内董事、监事离任和高级管理人员解聘的情况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公司董事、监事、高级管理人员变动情况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63" w:name="_Toc988952"/>
      <w:r>
        <w:rPr>
          <w:rFonts w:ascii="宋体" w:hAnsi="宋体" w:cs="宋体"/>
          <w:b/>
          <w:bCs/>
        </w:rPr>
        <w:t>2、任职情况</w:t>
      </w:r>
      <w:bookmarkEnd w:id="6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公司现任董事、监事、高级管理人员专业背景、主要工作经历以及目前在公司的主要职责</w:t>
      </w:r>
    </w:p>
    <w:p w:rsidR="00E22F4C" w:rsidRDefault="00E22F4C">
      <w:pPr>
        <w:pStyle w:val="a4"/>
        <w:spacing w:before="40" w:beforeAutospacing="0" w:after="40" w:afterAutospacing="0"/>
        <w:jc w:val="both"/>
        <w:divId w:val="2062902033"/>
        <w:rPr>
          <w:sz w:val="18"/>
          <w:szCs w:val="18"/>
        </w:rPr>
      </w:pPr>
      <w:r>
        <w:rPr>
          <w:rFonts w:hint="eastAsia"/>
          <w:color w:val="000000"/>
          <w:sz w:val="18"/>
          <w:szCs w:val="18"/>
        </w:rPr>
        <w:t>（一）董事会成员</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1</w:t>
      </w:r>
      <w:r>
        <w:rPr>
          <w:rFonts w:hint="eastAsia"/>
          <w:color w:val="000000"/>
          <w:sz w:val="18"/>
          <w:szCs w:val="18"/>
        </w:rPr>
        <w:t>、陈启丰，男，中国国籍，无境外永久居留权，</w:t>
      </w:r>
      <w:r>
        <w:rPr>
          <w:rFonts w:ascii="Times New Roman" w:hAnsi="Times New Roman" w:cs="Times New Roman"/>
          <w:color w:val="000000"/>
          <w:sz w:val="18"/>
          <w:szCs w:val="18"/>
        </w:rPr>
        <w:t>1960</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月出生，大专学历。</w:t>
      </w:r>
      <w:r>
        <w:rPr>
          <w:rFonts w:ascii="Times New Roman" w:hAnsi="Times New Roman" w:cs="Times New Roman"/>
          <w:color w:val="000000"/>
          <w:sz w:val="18"/>
          <w:szCs w:val="18"/>
        </w:rPr>
        <w:t>1980</w:t>
      </w:r>
      <w:r>
        <w:rPr>
          <w:rFonts w:hint="eastAsia"/>
          <w:color w:val="000000"/>
          <w:sz w:val="18"/>
          <w:szCs w:val="18"/>
        </w:rPr>
        <w:t>年参加工作，</w:t>
      </w:r>
      <w:r>
        <w:rPr>
          <w:rFonts w:ascii="Times New Roman" w:hAnsi="Times New Roman" w:cs="Times New Roman"/>
          <w:color w:val="000000"/>
          <w:sz w:val="18"/>
          <w:szCs w:val="18"/>
        </w:rPr>
        <w:t>1987</w:t>
      </w:r>
      <w:r>
        <w:rPr>
          <w:rFonts w:hint="eastAsia"/>
          <w:color w:val="000000"/>
          <w:sz w:val="18"/>
          <w:szCs w:val="18"/>
        </w:rPr>
        <w:t>年进入钨制品行业；</w:t>
      </w:r>
      <w:r>
        <w:rPr>
          <w:rFonts w:ascii="Times New Roman" w:hAnsi="Times New Roman" w:cs="Times New Roman"/>
          <w:color w:val="000000"/>
          <w:sz w:val="18"/>
          <w:szCs w:val="18"/>
        </w:rPr>
        <w:t>1997</w:t>
      </w:r>
      <w:r>
        <w:rPr>
          <w:rFonts w:hint="eastAsia"/>
          <w:color w:val="000000"/>
          <w:sz w:val="18"/>
          <w:szCs w:val="18"/>
        </w:rPr>
        <w:t>年组建潮州翔鹭钨业有限公司；</w:t>
      </w:r>
      <w:r>
        <w:rPr>
          <w:rFonts w:ascii="Times New Roman" w:hAnsi="Times New Roman" w:cs="Times New Roman"/>
          <w:color w:val="000000"/>
          <w:sz w:val="18"/>
          <w:szCs w:val="18"/>
        </w:rPr>
        <w:t>2001</w:t>
      </w:r>
      <w:r>
        <w:rPr>
          <w:rFonts w:hint="eastAsia"/>
          <w:color w:val="000000"/>
          <w:sz w:val="18"/>
          <w:szCs w:val="18"/>
        </w:rPr>
        <w:t>年至今任公司董事长；曾任潮州市政协委员，潮州市人大常委。现任中国钨业协会主席团主席、广东省有色协会副会长、并被潮州市政府授予</w:t>
      </w:r>
      <w:r>
        <w:rPr>
          <w:rFonts w:ascii="Times New Roman" w:hAnsi="Times New Roman" w:cs="Times New Roman"/>
          <w:color w:val="000000"/>
          <w:sz w:val="18"/>
          <w:szCs w:val="18"/>
        </w:rPr>
        <w:t>“</w:t>
      </w:r>
      <w:r>
        <w:rPr>
          <w:rFonts w:hint="eastAsia"/>
          <w:color w:val="000000"/>
          <w:sz w:val="18"/>
          <w:szCs w:val="18"/>
        </w:rPr>
        <w:t>慈善家</w:t>
      </w:r>
      <w:r>
        <w:rPr>
          <w:rFonts w:ascii="Times New Roman" w:hAnsi="Times New Roman" w:cs="Times New Roman"/>
          <w:color w:val="000000"/>
          <w:sz w:val="18"/>
          <w:szCs w:val="18"/>
        </w:rPr>
        <w:t>”</w:t>
      </w:r>
      <w:r>
        <w:rPr>
          <w:rFonts w:hint="eastAsia"/>
          <w:color w:val="000000"/>
          <w:sz w:val="18"/>
          <w:szCs w:val="18"/>
        </w:rPr>
        <w:t>称号；曾先后获得过省市级科学技术奖励。现任广东翔鹭钨业股份有限公司董事长。</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2</w:t>
      </w:r>
      <w:r>
        <w:rPr>
          <w:rFonts w:hint="eastAsia"/>
          <w:color w:val="000000"/>
          <w:sz w:val="18"/>
          <w:szCs w:val="18"/>
        </w:rPr>
        <w:t>、陈伟东，男，中国国籍，无境外永久居留权，</w:t>
      </w:r>
      <w:r>
        <w:rPr>
          <w:rFonts w:ascii="Times New Roman" w:hAnsi="Times New Roman" w:cs="Times New Roman"/>
          <w:color w:val="000000"/>
          <w:sz w:val="18"/>
          <w:szCs w:val="18"/>
        </w:rPr>
        <w:t>1988</w:t>
      </w:r>
      <w:r>
        <w:rPr>
          <w:rFonts w:hint="eastAsia"/>
          <w:color w:val="000000"/>
          <w:sz w:val="18"/>
          <w:szCs w:val="18"/>
        </w:rPr>
        <w:t>年</w:t>
      </w:r>
      <w:r>
        <w:rPr>
          <w:rFonts w:ascii="Times New Roman" w:hAnsi="Times New Roman" w:cs="Times New Roman"/>
          <w:color w:val="000000"/>
          <w:sz w:val="18"/>
          <w:szCs w:val="18"/>
        </w:rPr>
        <w:t>1</w:t>
      </w:r>
      <w:r>
        <w:rPr>
          <w:rFonts w:hint="eastAsia"/>
          <w:color w:val="000000"/>
          <w:sz w:val="18"/>
          <w:szCs w:val="18"/>
        </w:rPr>
        <w:t>月出生，</w:t>
      </w:r>
      <w:r>
        <w:rPr>
          <w:rFonts w:ascii="Times New Roman" w:hAnsi="Times New Roman" w:cs="Times New Roman"/>
          <w:color w:val="000000"/>
          <w:sz w:val="18"/>
          <w:szCs w:val="18"/>
        </w:rPr>
        <w:t>2011</w:t>
      </w:r>
      <w:r>
        <w:rPr>
          <w:rFonts w:hint="eastAsia"/>
          <w:color w:val="000000"/>
          <w:sz w:val="18"/>
          <w:szCs w:val="18"/>
        </w:rPr>
        <w:t>年</w:t>
      </w:r>
      <w:r>
        <w:rPr>
          <w:rFonts w:ascii="Times New Roman" w:hAnsi="Times New Roman" w:cs="Times New Roman"/>
          <w:color w:val="000000"/>
          <w:sz w:val="18"/>
          <w:szCs w:val="18"/>
        </w:rPr>
        <w:t>7</w:t>
      </w:r>
      <w:r>
        <w:rPr>
          <w:rFonts w:hint="eastAsia"/>
          <w:color w:val="000000"/>
          <w:sz w:val="18"/>
          <w:szCs w:val="18"/>
        </w:rPr>
        <w:t>月毕业于英国曼彻斯特大学社会科学系金融与会计专业，</w:t>
      </w:r>
      <w:r>
        <w:rPr>
          <w:rFonts w:ascii="Times New Roman" w:hAnsi="Times New Roman" w:cs="Times New Roman"/>
          <w:color w:val="000000"/>
          <w:sz w:val="18"/>
          <w:szCs w:val="18"/>
        </w:rPr>
        <w:t>2012</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月获英国曼彻斯特大学管理学硕士学位。工作履历：</w:t>
      </w:r>
      <w:r>
        <w:rPr>
          <w:rFonts w:ascii="Times New Roman" w:hAnsi="Times New Roman" w:cs="Times New Roman"/>
          <w:color w:val="000000"/>
          <w:sz w:val="18"/>
          <w:szCs w:val="18"/>
        </w:rPr>
        <w:t>2012</w:t>
      </w:r>
      <w:r>
        <w:rPr>
          <w:rFonts w:hint="eastAsia"/>
          <w:color w:val="000000"/>
          <w:sz w:val="18"/>
          <w:szCs w:val="18"/>
        </w:rPr>
        <w:t>年至今就职于广东翔鹭钨业股份有限公司，现任公司第四届董事会董事和总经理。</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3</w:t>
      </w:r>
      <w:r>
        <w:rPr>
          <w:rFonts w:hint="eastAsia"/>
          <w:color w:val="000000"/>
          <w:sz w:val="18"/>
          <w:szCs w:val="18"/>
        </w:rPr>
        <w:t>、陈伟儿，女，中国国籍，无境外永久居留权，</w:t>
      </w:r>
      <w:r>
        <w:rPr>
          <w:rFonts w:ascii="Times New Roman" w:hAnsi="Times New Roman" w:cs="Times New Roman"/>
          <w:color w:val="000000"/>
          <w:sz w:val="18"/>
          <w:szCs w:val="18"/>
        </w:rPr>
        <w:t>1985</w:t>
      </w:r>
      <w:r>
        <w:rPr>
          <w:rFonts w:hint="eastAsia"/>
          <w:color w:val="000000"/>
          <w:sz w:val="18"/>
          <w:szCs w:val="18"/>
        </w:rPr>
        <w:t>年</w:t>
      </w:r>
      <w:r>
        <w:rPr>
          <w:rFonts w:ascii="Times New Roman" w:hAnsi="Times New Roman" w:cs="Times New Roman"/>
          <w:color w:val="000000"/>
          <w:sz w:val="18"/>
          <w:szCs w:val="18"/>
        </w:rPr>
        <w:t>1</w:t>
      </w:r>
      <w:r>
        <w:rPr>
          <w:rFonts w:hint="eastAsia"/>
          <w:color w:val="000000"/>
          <w:sz w:val="18"/>
          <w:szCs w:val="18"/>
        </w:rPr>
        <w:t>月出生，英国威尔士班戈大学会计金融专业毕业本科学历。</w:t>
      </w:r>
      <w:r>
        <w:rPr>
          <w:rFonts w:ascii="Times New Roman" w:hAnsi="Times New Roman" w:cs="Times New Roman"/>
          <w:color w:val="000000"/>
          <w:sz w:val="18"/>
          <w:szCs w:val="18"/>
        </w:rPr>
        <w:t>2010</w:t>
      </w:r>
      <w:r>
        <w:rPr>
          <w:rFonts w:hint="eastAsia"/>
          <w:color w:val="000000"/>
          <w:sz w:val="18"/>
          <w:szCs w:val="18"/>
        </w:rPr>
        <w:t>年</w:t>
      </w:r>
      <w:r>
        <w:rPr>
          <w:rFonts w:ascii="Times New Roman" w:hAnsi="Times New Roman" w:cs="Times New Roman"/>
          <w:color w:val="000000"/>
          <w:sz w:val="18"/>
          <w:szCs w:val="18"/>
        </w:rPr>
        <w:t>7</w:t>
      </w:r>
      <w:r>
        <w:rPr>
          <w:rFonts w:hint="eastAsia"/>
          <w:color w:val="000000"/>
          <w:sz w:val="18"/>
          <w:szCs w:val="18"/>
        </w:rPr>
        <w:t>月加入公司，现任公司第四届董事会董事、副总经理。</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4</w:t>
      </w:r>
      <w:r>
        <w:rPr>
          <w:rFonts w:hint="eastAsia"/>
          <w:color w:val="000000"/>
          <w:sz w:val="18"/>
          <w:szCs w:val="18"/>
        </w:rPr>
        <w:t>、周伟平，男，中国国籍，无境外永久居留权，</w:t>
      </w:r>
      <w:r>
        <w:rPr>
          <w:rFonts w:ascii="Times New Roman" w:hAnsi="Times New Roman" w:cs="Times New Roman"/>
          <w:color w:val="000000"/>
          <w:sz w:val="18"/>
          <w:szCs w:val="18"/>
        </w:rPr>
        <w:t>1983</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月出生，硕士学历，历任本公司销售部业务主办，销售部经理，销售总监，现任本公司董事，副总经理。</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lastRenderedPageBreak/>
        <w:t>    5</w:t>
      </w:r>
      <w:r>
        <w:rPr>
          <w:rFonts w:hint="eastAsia"/>
          <w:color w:val="000000"/>
          <w:sz w:val="18"/>
          <w:szCs w:val="18"/>
        </w:rPr>
        <w:t>、高再荣，男，中国国籍，无境外永久居留权，</w:t>
      </w:r>
      <w:r>
        <w:rPr>
          <w:rFonts w:ascii="Times New Roman" w:hAnsi="Times New Roman" w:cs="Times New Roman"/>
          <w:color w:val="000000"/>
          <w:sz w:val="18"/>
          <w:szCs w:val="18"/>
        </w:rPr>
        <w:t>1953</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月出生，瑞典工业管理学院工商管理</w:t>
      </w:r>
      <w:r>
        <w:rPr>
          <w:rFonts w:ascii="MS Mincho" w:eastAsia="MS Mincho" w:hAnsi="MS Mincho" w:hint="eastAsia"/>
          <w:color w:val="000000"/>
          <w:sz w:val="18"/>
          <w:szCs w:val="18"/>
        </w:rPr>
        <w:t>本</w:t>
      </w:r>
      <w:r>
        <w:rPr>
          <w:rFonts w:hint="eastAsia"/>
          <w:color w:val="000000"/>
          <w:sz w:val="18"/>
          <w:szCs w:val="18"/>
        </w:rPr>
        <w:t>科学历。曾任株洲硬质合金集团副总、中钨高新副总、株洲硬质合金厂工程师、国家有色工业局高级经济师、湖南省人事厅高级国际商务师。现任格林利福（湖南）高新材料有限公司董事总经理、广东翔鹭钨业股份有限公司独立董事。</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6</w:t>
      </w:r>
      <w:r>
        <w:rPr>
          <w:rFonts w:hint="eastAsia"/>
          <w:color w:val="000000"/>
          <w:sz w:val="18"/>
          <w:szCs w:val="18"/>
        </w:rPr>
        <w:t>、肖连生，男，中国国籍，无境外永久居留权，</w:t>
      </w:r>
      <w:r>
        <w:rPr>
          <w:rFonts w:ascii="Times New Roman" w:hAnsi="Times New Roman" w:cs="Times New Roman"/>
          <w:color w:val="000000"/>
          <w:sz w:val="18"/>
          <w:szCs w:val="18"/>
        </w:rPr>
        <w:t>1955</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出生，中南矿冶学院（中南大学）有色冶金专业毕业，获得学士学位。曾任株洲钨钼材料厂高级工程师、副厂长；湖南振升铝材有限公司担任常务副总经理；曾在中南大学冶金学院稀冶研究所从事教学和科研及技术开发工作。曾任中国有色金属协会稀有金属分会副主任委员，钨钼专业委员会主任委员，现任广东翔鹭钨业股份有限公司独立董事。</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7</w:t>
      </w:r>
      <w:r>
        <w:rPr>
          <w:rFonts w:hint="eastAsia"/>
          <w:color w:val="000000"/>
          <w:sz w:val="18"/>
          <w:szCs w:val="18"/>
        </w:rPr>
        <w:t>、廖俊雄，男，中国国籍，无境外永久居留权，</w:t>
      </w:r>
      <w:r>
        <w:rPr>
          <w:rFonts w:ascii="Times New Roman" w:hAnsi="Times New Roman" w:cs="Times New Roman"/>
          <w:color w:val="000000"/>
          <w:sz w:val="18"/>
          <w:szCs w:val="18"/>
        </w:rPr>
        <w:t>1958</w:t>
      </w:r>
      <w:r>
        <w:rPr>
          <w:rFonts w:hint="eastAsia"/>
          <w:color w:val="000000"/>
          <w:sz w:val="18"/>
          <w:szCs w:val="18"/>
        </w:rPr>
        <w:t>年</w:t>
      </w:r>
      <w:r>
        <w:rPr>
          <w:rFonts w:ascii="Times New Roman" w:hAnsi="Times New Roman" w:cs="Times New Roman"/>
          <w:color w:val="000000"/>
          <w:sz w:val="18"/>
          <w:szCs w:val="18"/>
        </w:rPr>
        <w:t>11</w:t>
      </w:r>
      <w:r>
        <w:rPr>
          <w:rFonts w:hint="eastAsia"/>
          <w:color w:val="000000"/>
          <w:sz w:val="18"/>
          <w:szCs w:val="18"/>
        </w:rPr>
        <w:t>月出生，中央广播电视大学法学本科毕业，注册会计师、高级会计师。曾任潮州市潮安县第五届第六届政协委员、潮州市第十一届、十二届人大代表及潮州市第十一届、十二届人大预算委员会委员、潮州市光电器件厂主办会计、潮安县社会劳动保险公司主办会计、潮安会计师事务所所长、潮州天衡会计师事务所所长。现任潮州天衡会计师事务所执业注册会计师及党支部书记、广东翔鹭钨业股份有限公司独立董事。</w:t>
      </w:r>
    </w:p>
    <w:p w:rsidR="00E22F4C" w:rsidRDefault="00E22F4C">
      <w:pPr>
        <w:pStyle w:val="a4"/>
        <w:spacing w:before="40" w:beforeAutospacing="0" w:after="40" w:afterAutospacing="0"/>
        <w:jc w:val="both"/>
        <w:divId w:val="2062902033"/>
        <w:rPr>
          <w:sz w:val="18"/>
          <w:szCs w:val="18"/>
        </w:rPr>
      </w:pPr>
      <w:r>
        <w:rPr>
          <w:rFonts w:hint="eastAsia"/>
          <w:color w:val="000000"/>
          <w:sz w:val="18"/>
          <w:szCs w:val="18"/>
        </w:rPr>
        <w:t>（二）监事会成员</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1</w:t>
      </w:r>
      <w:r>
        <w:rPr>
          <w:rFonts w:hint="eastAsia"/>
          <w:color w:val="000000"/>
          <w:sz w:val="18"/>
          <w:szCs w:val="18"/>
        </w:rPr>
        <w:t>、姚明钦先生：男，中国国籍，无境外永久居留权，</w:t>
      </w:r>
      <w:r>
        <w:rPr>
          <w:rFonts w:ascii="Times New Roman" w:hAnsi="Times New Roman" w:cs="Times New Roman"/>
          <w:color w:val="000000"/>
          <w:sz w:val="18"/>
          <w:szCs w:val="18"/>
        </w:rPr>
        <w:t>1973</w:t>
      </w:r>
      <w:r>
        <w:rPr>
          <w:rFonts w:hint="eastAsia"/>
          <w:color w:val="000000"/>
          <w:sz w:val="18"/>
          <w:szCs w:val="18"/>
        </w:rPr>
        <w:t>年</w:t>
      </w:r>
      <w:r>
        <w:rPr>
          <w:rFonts w:ascii="Times New Roman" w:hAnsi="Times New Roman" w:cs="Times New Roman"/>
          <w:color w:val="000000"/>
          <w:sz w:val="18"/>
          <w:szCs w:val="18"/>
        </w:rPr>
        <w:t>9</w:t>
      </w:r>
      <w:r>
        <w:rPr>
          <w:rFonts w:hint="eastAsia"/>
          <w:color w:val="000000"/>
          <w:sz w:val="18"/>
          <w:szCs w:val="18"/>
        </w:rPr>
        <w:t>月出生，行政管理专业，大专学历。</w:t>
      </w:r>
      <w:r>
        <w:rPr>
          <w:rFonts w:ascii="Times New Roman" w:hAnsi="Times New Roman" w:cs="Times New Roman"/>
          <w:color w:val="000000"/>
          <w:sz w:val="18"/>
          <w:szCs w:val="18"/>
        </w:rPr>
        <w:t>2000</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月加入公司，先后从事公司多个岗位，</w:t>
      </w:r>
      <w:r>
        <w:rPr>
          <w:rFonts w:ascii="Times New Roman" w:hAnsi="Times New Roman" w:cs="Times New Roman"/>
          <w:color w:val="000000"/>
          <w:sz w:val="18"/>
          <w:szCs w:val="18"/>
        </w:rPr>
        <w:t>2002</w:t>
      </w:r>
      <w:r>
        <w:rPr>
          <w:rFonts w:hint="eastAsia"/>
          <w:color w:val="000000"/>
          <w:sz w:val="18"/>
          <w:szCs w:val="18"/>
        </w:rPr>
        <w:t>年负责公司采购和物流业务，</w:t>
      </w:r>
      <w:r>
        <w:rPr>
          <w:rFonts w:ascii="Times New Roman" w:hAnsi="Times New Roman" w:cs="Times New Roman"/>
          <w:color w:val="000000"/>
          <w:sz w:val="18"/>
          <w:szCs w:val="18"/>
        </w:rPr>
        <w:t>2010</w:t>
      </w:r>
      <w:r>
        <w:rPr>
          <w:rFonts w:hint="eastAsia"/>
          <w:color w:val="000000"/>
          <w:sz w:val="18"/>
          <w:szCs w:val="18"/>
        </w:rPr>
        <w:t>年至今分管公司行政事业部，现任公司行政事业部经理、监事会主席。</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2</w:t>
      </w:r>
      <w:r>
        <w:rPr>
          <w:rFonts w:hint="eastAsia"/>
          <w:color w:val="000000"/>
          <w:sz w:val="18"/>
          <w:szCs w:val="18"/>
        </w:rPr>
        <w:t>、付胜，男，中国国籍，无境外永久居留权，</w:t>
      </w:r>
      <w:r>
        <w:rPr>
          <w:rFonts w:ascii="Times New Roman" w:hAnsi="Times New Roman" w:cs="Times New Roman"/>
          <w:color w:val="000000"/>
          <w:sz w:val="18"/>
          <w:szCs w:val="18"/>
        </w:rPr>
        <w:t>1984</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月出生。毕业于中南大学粉体材料科学与工程专业本科学历。粉末冶金工程师，是公司的技术骨干，</w:t>
      </w:r>
      <w:r>
        <w:rPr>
          <w:rFonts w:ascii="Times New Roman" w:hAnsi="Times New Roman" w:cs="Times New Roman"/>
          <w:color w:val="000000"/>
          <w:sz w:val="18"/>
          <w:szCs w:val="18"/>
        </w:rPr>
        <w:t>2007</w:t>
      </w:r>
      <w:r>
        <w:rPr>
          <w:rFonts w:hint="eastAsia"/>
          <w:color w:val="000000"/>
          <w:sz w:val="18"/>
          <w:szCs w:val="18"/>
        </w:rPr>
        <w:t>年</w:t>
      </w:r>
      <w:r>
        <w:rPr>
          <w:rFonts w:ascii="Times New Roman" w:hAnsi="Times New Roman" w:cs="Times New Roman"/>
          <w:color w:val="000000"/>
          <w:sz w:val="18"/>
          <w:szCs w:val="18"/>
        </w:rPr>
        <w:t>7</w:t>
      </w:r>
      <w:r>
        <w:rPr>
          <w:rFonts w:hint="eastAsia"/>
          <w:color w:val="000000"/>
          <w:sz w:val="18"/>
          <w:szCs w:val="18"/>
        </w:rPr>
        <w:t>月入职公司，参与了公司多个技术项目的研发工作，现任公司第四届监事会股东代表监事、生产二部经理。</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3</w:t>
      </w:r>
      <w:r>
        <w:rPr>
          <w:rFonts w:hint="eastAsia"/>
          <w:color w:val="000000"/>
          <w:sz w:val="18"/>
          <w:szCs w:val="18"/>
        </w:rPr>
        <w:t>、卢勇甘，男，中国国籍，无境外永久居留权，</w:t>
      </w:r>
      <w:r>
        <w:rPr>
          <w:rFonts w:ascii="Times New Roman" w:hAnsi="Times New Roman" w:cs="Times New Roman"/>
          <w:color w:val="000000"/>
          <w:sz w:val="18"/>
          <w:szCs w:val="18"/>
        </w:rPr>
        <w:t>1984</w:t>
      </w:r>
      <w:r>
        <w:rPr>
          <w:rFonts w:hint="eastAsia"/>
          <w:color w:val="000000"/>
          <w:sz w:val="18"/>
          <w:szCs w:val="18"/>
        </w:rPr>
        <w:t>年</w:t>
      </w:r>
      <w:r>
        <w:rPr>
          <w:rFonts w:ascii="Times New Roman" w:hAnsi="Times New Roman" w:cs="Times New Roman"/>
          <w:color w:val="000000"/>
          <w:sz w:val="18"/>
          <w:szCs w:val="18"/>
        </w:rPr>
        <w:t>8</w:t>
      </w:r>
      <w:r>
        <w:rPr>
          <w:rFonts w:hint="eastAsia"/>
          <w:color w:val="000000"/>
          <w:sz w:val="18"/>
          <w:szCs w:val="18"/>
        </w:rPr>
        <w:t>月出生。毕业于中南大学冶金工程专业本科学历。冶金工程师，是公司的技术骨干，</w:t>
      </w:r>
      <w:r>
        <w:rPr>
          <w:rFonts w:ascii="Times New Roman" w:hAnsi="Times New Roman" w:cs="Times New Roman"/>
          <w:color w:val="000000"/>
          <w:sz w:val="18"/>
          <w:szCs w:val="18"/>
        </w:rPr>
        <w:t>2007</w:t>
      </w:r>
      <w:r>
        <w:rPr>
          <w:rFonts w:hint="eastAsia"/>
          <w:color w:val="000000"/>
          <w:sz w:val="18"/>
          <w:szCs w:val="18"/>
        </w:rPr>
        <w:t>年</w:t>
      </w:r>
      <w:r>
        <w:rPr>
          <w:rFonts w:ascii="Times New Roman" w:hAnsi="Times New Roman" w:cs="Times New Roman"/>
          <w:color w:val="000000"/>
          <w:sz w:val="18"/>
          <w:szCs w:val="18"/>
        </w:rPr>
        <w:t>7</w:t>
      </w:r>
      <w:r>
        <w:rPr>
          <w:rFonts w:hint="eastAsia"/>
          <w:color w:val="000000"/>
          <w:sz w:val="18"/>
          <w:szCs w:val="18"/>
        </w:rPr>
        <w:t>月入职公司，参与了公司多个技术项目的研发工作，现任公司第四届监事会股东代表监事、生产一部经理。</w:t>
      </w:r>
    </w:p>
    <w:p w:rsidR="00E22F4C" w:rsidRDefault="00E22F4C">
      <w:pPr>
        <w:pStyle w:val="a4"/>
        <w:spacing w:before="40" w:beforeAutospacing="0" w:after="40" w:afterAutospacing="0"/>
        <w:jc w:val="both"/>
        <w:divId w:val="2062902033"/>
        <w:rPr>
          <w:sz w:val="18"/>
          <w:szCs w:val="18"/>
        </w:rPr>
      </w:pPr>
      <w:r>
        <w:rPr>
          <w:rFonts w:hint="eastAsia"/>
          <w:color w:val="000000"/>
          <w:sz w:val="18"/>
          <w:szCs w:val="18"/>
        </w:rPr>
        <w:t>（三）高级管理人员</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1</w:t>
      </w:r>
      <w:r>
        <w:rPr>
          <w:rFonts w:hint="eastAsia"/>
          <w:color w:val="000000"/>
          <w:sz w:val="18"/>
          <w:szCs w:val="18"/>
        </w:rPr>
        <w:t>、陈伟东，公司董事、总经理，简历请见</w:t>
      </w:r>
      <w:r>
        <w:rPr>
          <w:rFonts w:ascii="Times New Roman" w:hAnsi="Times New Roman" w:cs="Times New Roman"/>
          <w:color w:val="000000"/>
          <w:sz w:val="18"/>
          <w:szCs w:val="18"/>
        </w:rPr>
        <w:t>“</w:t>
      </w:r>
      <w:r>
        <w:rPr>
          <w:rFonts w:hint="eastAsia"/>
          <w:color w:val="000000"/>
          <w:sz w:val="18"/>
          <w:szCs w:val="18"/>
        </w:rPr>
        <w:t>（一）董事会成员</w:t>
      </w:r>
      <w:r>
        <w:rPr>
          <w:rFonts w:ascii="Times New Roman" w:hAnsi="Times New Roman" w:cs="Times New Roman"/>
          <w:color w:val="000000"/>
          <w:sz w:val="18"/>
          <w:szCs w:val="18"/>
        </w:rPr>
        <w:t>”</w:t>
      </w:r>
      <w:r>
        <w:rPr>
          <w:rFonts w:hint="eastAsia"/>
          <w:color w:val="000000"/>
          <w:sz w:val="18"/>
          <w:szCs w:val="18"/>
        </w:rPr>
        <w:t>。</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2</w:t>
      </w:r>
      <w:r>
        <w:rPr>
          <w:rFonts w:hint="eastAsia"/>
          <w:color w:val="000000"/>
          <w:sz w:val="18"/>
          <w:szCs w:val="18"/>
        </w:rPr>
        <w:t>、陈伟儿，公司董事、副总经理，简历请见</w:t>
      </w:r>
      <w:r>
        <w:rPr>
          <w:rFonts w:ascii="Times New Roman" w:hAnsi="Times New Roman" w:cs="Times New Roman"/>
          <w:color w:val="000000"/>
          <w:sz w:val="18"/>
          <w:szCs w:val="18"/>
        </w:rPr>
        <w:t>“</w:t>
      </w:r>
      <w:r>
        <w:rPr>
          <w:rFonts w:hint="eastAsia"/>
          <w:color w:val="000000"/>
          <w:sz w:val="18"/>
          <w:szCs w:val="18"/>
        </w:rPr>
        <w:t>（一）董事会成员</w:t>
      </w:r>
      <w:r>
        <w:rPr>
          <w:rFonts w:ascii="Times New Roman" w:hAnsi="Times New Roman" w:cs="Times New Roman"/>
          <w:color w:val="000000"/>
          <w:sz w:val="18"/>
          <w:szCs w:val="18"/>
        </w:rPr>
        <w:t>”</w:t>
      </w:r>
      <w:r>
        <w:rPr>
          <w:rFonts w:hint="eastAsia"/>
          <w:color w:val="000000"/>
          <w:sz w:val="18"/>
          <w:szCs w:val="18"/>
        </w:rPr>
        <w:t>。</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3</w:t>
      </w:r>
      <w:r>
        <w:rPr>
          <w:rFonts w:hint="eastAsia"/>
          <w:color w:val="000000"/>
          <w:sz w:val="18"/>
          <w:szCs w:val="18"/>
        </w:rPr>
        <w:t>、周伟平，公司董事、副总经理，简历请见</w:t>
      </w:r>
      <w:r>
        <w:rPr>
          <w:rFonts w:ascii="Times New Roman" w:hAnsi="Times New Roman" w:cs="Times New Roman"/>
          <w:color w:val="000000"/>
          <w:sz w:val="18"/>
          <w:szCs w:val="18"/>
        </w:rPr>
        <w:t>“</w:t>
      </w:r>
      <w:r>
        <w:rPr>
          <w:rFonts w:hint="eastAsia"/>
          <w:color w:val="000000"/>
          <w:sz w:val="18"/>
          <w:szCs w:val="18"/>
        </w:rPr>
        <w:t>（一）董事会成员</w:t>
      </w:r>
      <w:r>
        <w:rPr>
          <w:rFonts w:ascii="Times New Roman" w:hAnsi="Times New Roman" w:cs="Times New Roman"/>
          <w:color w:val="000000"/>
          <w:sz w:val="18"/>
          <w:szCs w:val="18"/>
        </w:rPr>
        <w:t>”</w:t>
      </w:r>
      <w:r>
        <w:rPr>
          <w:rFonts w:hint="eastAsia"/>
          <w:color w:val="000000"/>
          <w:sz w:val="18"/>
          <w:szCs w:val="18"/>
        </w:rPr>
        <w:t>。</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4</w:t>
      </w:r>
      <w:r>
        <w:rPr>
          <w:rFonts w:hint="eastAsia"/>
          <w:color w:val="000000"/>
          <w:sz w:val="18"/>
          <w:szCs w:val="18"/>
        </w:rPr>
        <w:t>、李盛意，男，中国国籍，无境外永久居留权，</w:t>
      </w:r>
      <w:r>
        <w:rPr>
          <w:rFonts w:ascii="Times New Roman" w:hAnsi="Times New Roman" w:cs="Times New Roman"/>
          <w:color w:val="000000"/>
          <w:sz w:val="18"/>
          <w:szCs w:val="18"/>
        </w:rPr>
        <w:t xml:space="preserve">1983 </w:t>
      </w:r>
      <w:r>
        <w:rPr>
          <w:rFonts w:hint="eastAsia"/>
          <w:color w:val="000000"/>
          <w:sz w:val="18"/>
          <w:szCs w:val="18"/>
        </w:rPr>
        <w:t>年</w:t>
      </w:r>
      <w:r>
        <w:rPr>
          <w:rFonts w:ascii="Times New Roman" w:hAnsi="Times New Roman" w:cs="Times New Roman"/>
          <w:color w:val="000000"/>
          <w:sz w:val="18"/>
          <w:szCs w:val="18"/>
        </w:rPr>
        <w:t>4</w:t>
      </w:r>
      <w:r>
        <w:rPr>
          <w:rFonts w:hint="eastAsia"/>
          <w:color w:val="000000"/>
          <w:sz w:val="18"/>
          <w:szCs w:val="18"/>
        </w:rPr>
        <w:t>月出生，武汉工程大学工业分析专业毕业本科学历，具备董事会秘书任职资格。</w:t>
      </w:r>
      <w:r>
        <w:rPr>
          <w:rFonts w:ascii="Times New Roman" w:hAnsi="Times New Roman" w:cs="Times New Roman"/>
          <w:color w:val="000000"/>
          <w:sz w:val="18"/>
          <w:szCs w:val="18"/>
        </w:rPr>
        <w:t xml:space="preserve"> 2006 </w:t>
      </w:r>
      <w:r>
        <w:rPr>
          <w:rFonts w:hint="eastAsia"/>
          <w:color w:val="000000"/>
          <w:sz w:val="18"/>
          <w:szCs w:val="18"/>
        </w:rPr>
        <w:t>年加入公司，曾任生产部副经理、质管部经理。现任副总经理、董事会秘书。</w:t>
      </w:r>
    </w:p>
    <w:p w:rsidR="00E22F4C" w:rsidRDefault="00E22F4C">
      <w:pPr>
        <w:pStyle w:val="a4"/>
        <w:spacing w:before="40" w:beforeAutospacing="0" w:after="40" w:afterAutospacing="0"/>
        <w:jc w:val="both"/>
        <w:divId w:val="2062902033"/>
        <w:rPr>
          <w:sz w:val="18"/>
          <w:szCs w:val="18"/>
        </w:rPr>
      </w:pPr>
      <w:r>
        <w:rPr>
          <w:rFonts w:ascii="Times New Roman" w:hAnsi="Times New Roman" w:cs="Times New Roman"/>
          <w:color w:val="000000"/>
          <w:sz w:val="18"/>
          <w:szCs w:val="18"/>
        </w:rPr>
        <w:t>   5</w:t>
      </w:r>
      <w:r>
        <w:rPr>
          <w:rFonts w:hint="eastAsia"/>
          <w:color w:val="000000"/>
          <w:sz w:val="18"/>
          <w:szCs w:val="18"/>
        </w:rPr>
        <w:t>、戴湘平，男，中国国籍，无境外永久居留权，</w:t>
      </w:r>
      <w:r>
        <w:rPr>
          <w:rFonts w:ascii="Times New Roman" w:hAnsi="Times New Roman" w:cs="Times New Roman"/>
          <w:color w:val="000000"/>
          <w:sz w:val="18"/>
          <w:szCs w:val="18"/>
        </w:rPr>
        <w:t>1981</w:t>
      </w:r>
      <w:r>
        <w:rPr>
          <w:rFonts w:hint="eastAsia"/>
          <w:color w:val="000000"/>
          <w:sz w:val="18"/>
          <w:szCs w:val="18"/>
        </w:rPr>
        <w:t>年</w:t>
      </w:r>
      <w:r>
        <w:rPr>
          <w:rFonts w:ascii="Times New Roman" w:hAnsi="Times New Roman" w:cs="Times New Roman"/>
          <w:color w:val="000000"/>
          <w:sz w:val="18"/>
          <w:szCs w:val="18"/>
        </w:rPr>
        <w:t>3</w:t>
      </w:r>
      <w:r>
        <w:rPr>
          <w:rFonts w:hint="eastAsia"/>
          <w:color w:val="000000"/>
          <w:sz w:val="18"/>
          <w:szCs w:val="18"/>
        </w:rPr>
        <w:t>月出生，</w:t>
      </w:r>
      <w:r>
        <w:rPr>
          <w:rFonts w:ascii="Times New Roman" w:hAnsi="Times New Roman" w:cs="Times New Roman"/>
          <w:color w:val="000000"/>
          <w:sz w:val="18"/>
          <w:szCs w:val="18"/>
        </w:rPr>
        <w:t>2004</w:t>
      </w:r>
      <w:r>
        <w:rPr>
          <w:rFonts w:hint="eastAsia"/>
          <w:color w:val="000000"/>
          <w:sz w:val="18"/>
          <w:szCs w:val="18"/>
        </w:rPr>
        <w:t>年</w:t>
      </w:r>
      <w:r>
        <w:rPr>
          <w:rFonts w:ascii="Times New Roman" w:hAnsi="Times New Roman" w:cs="Times New Roman"/>
          <w:color w:val="000000"/>
          <w:sz w:val="18"/>
          <w:szCs w:val="18"/>
        </w:rPr>
        <w:t>6</w:t>
      </w:r>
      <w:r>
        <w:rPr>
          <w:rFonts w:hint="eastAsia"/>
          <w:color w:val="000000"/>
          <w:sz w:val="18"/>
          <w:szCs w:val="18"/>
        </w:rPr>
        <w:t>月毕业于中南大学有色冶金专业，</w:t>
      </w:r>
      <w:r>
        <w:rPr>
          <w:rFonts w:ascii="Times New Roman" w:hAnsi="Times New Roman" w:cs="Times New Roman"/>
          <w:color w:val="000000"/>
          <w:sz w:val="18"/>
          <w:szCs w:val="18"/>
        </w:rPr>
        <w:t>2004</w:t>
      </w:r>
      <w:r>
        <w:rPr>
          <w:rFonts w:hint="eastAsia"/>
          <w:color w:val="000000"/>
          <w:sz w:val="18"/>
          <w:szCs w:val="18"/>
        </w:rPr>
        <w:t>年</w:t>
      </w:r>
      <w:r>
        <w:rPr>
          <w:rFonts w:ascii="Times New Roman" w:hAnsi="Times New Roman" w:cs="Times New Roman"/>
          <w:color w:val="000000"/>
          <w:sz w:val="18"/>
          <w:szCs w:val="18"/>
        </w:rPr>
        <w:t>7</w:t>
      </w:r>
      <w:r>
        <w:rPr>
          <w:rFonts w:hint="eastAsia"/>
          <w:color w:val="000000"/>
          <w:sz w:val="18"/>
          <w:szCs w:val="18"/>
        </w:rPr>
        <w:t>月获得工科学士学位。</w:t>
      </w:r>
      <w:r>
        <w:rPr>
          <w:rFonts w:ascii="Times New Roman" w:hAnsi="Times New Roman" w:cs="Times New Roman"/>
          <w:color w:val="000000"/>
          <w:sz w:val="18"/>
          <w:szCs w:val="18"/>
        </w:rPr>
        <w:t>2004</w:t>
      </w:r>
      <w:r>
        <w:rPr>
          <w:rFonts w:hint="eastAsia"/>
          <w:color w:val="000000"/>
          <w:sz w:val="18"/>
          <w:szCs w:val="18"/>
        </w:rPr>
        <w:t>年至今，先后担任公司粉末生产部助理工程师、工程师、部门副经理、经理等职务，现任公司副总经理（分管生产），总工程师。</w:t>
      </w:r>
    </w:p>
    <w:p w:rsidR="00E22F4C" w:rsidRDefault="00E22F4C">
      <w:pPr>
        <w:pStyle w:val="a4"/>
        <w:spacing w:before="0" w:beforeAutospacing="0" w:after="0" w:afterAutospacing="0"/>
        <w:jc w:val="both"/>
        <w:divId w:val="2062902033"/>
        <w:rPr>
          <w:sz w:val="18"/>
          <w:szCs w:val="18"/>
        </w:rPr>
      </w:pPr>
      <w:r>
        <w:rPr>
          <w:rFonts w:ascii="Times New Roman" w:hAnsi="Times New Roman" w:cs="Times New Roman"/>
          <w:color w:val="000000"/>
          <w:sz w:val="18"/>
          <w:szCs w:val="18"/>
        </w:rPr>
        <w:t>   6</w:t>
      </w:r>
      <w:r>
        <w:rPr>
          <w:rFonts w:hint="eastAsia"/>
          <w:color w:val="000000"/>
          <w:sz w:val="18"/>
          <w:szCs w:val="18"/>
        </w:rPr>
        <w:t>、郑丽芳，女，中国国籍，无境外永久居留权，</w:t>
      </w:r>
      <w:r>
        <w:rPr>
          <w:rFonts w:ascii="Times New Roman" w:hAnsi="Times New Roman" w:cs="Times New Roman"/>
          <w:color w:val="000000"/>
          <w:sz w:val="18"/>
          <w:szCs w:val="18"/>
        </w:rPr>
        <w:t>1977</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月出生，财会大专学历，</w:t>
      </w:r>
      <w:r>
        <w:rPr>
          <w:rFonts w:ascii="Times New Roman" w:hAnsi="Times New Roman" w:cs="Times New Roman"/>
          <w:color w:val="000000"/>
          <w:sz w:val="18"/>
          <w:szCs w:val="18"/>
        </w:rPr>
        <w:t>2011</w:t>
      </w:r>
      <w:r>
        <w:rPr>
          <w:rFonts w:hint="eastAsia"/>
          <w:color w:val="000000"/>
          <w:sz w:val="18"/>
          <w:szCs w:val="18"/>
        </w:rPr>
        <w:t>年加入本公司，历任财务副经理、财务经理，现任公司财务总监。</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在股东单位任职情况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任职人员姓名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股东单位名称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在股东单位担任的职务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任期起始日期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任期终止日期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在股东单位是否领取报酬津贴</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启龙有限</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2016年11月21日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陈伟东</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启龙有限</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经理</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2016年11月21日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在其他单位任职情况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任职人员姓名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在其他单位担任的职务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任期起始日期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任期终止日期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在其他单位是否领取报酬津贴</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新疆天科汇能环境工程有限公司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2013年12月03日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新疆坤祥矿业开发有限公司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2007年10月30日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高再荣</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格林利福（湖南）高新材料有限公司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董事兼总经理</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2011年07月08日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肖连生</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湖南宏邦新材料科技公司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2021年01月01日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廖俊雄</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潮州天衡会计师事务所有限公司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执业注册会计师及党支部书记</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bl>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公司现任及报告期内离任董事、监事和高级管理人员近三年证券监管机构处罚的情况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64" w:name="_Toc988953"/>
      <w:r>
        <w:rPr>
          <w:rFonts w:ascii="宋体" w:hAnsi="宋体" w:cs="宋体"/>
          <w:b/>
          <w:bCs/>
        </w:rPr>
        <w:t>3、董事、监事、高级管理人员报酬情况</w:t>
      </w:r>
      <w:bookmarkEnd w:id="6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董事、监事、高级管理人员报酬的决策程序、确定依据、实际支付情况</w:t>
      </w:r>
    </w:p>
    <w:p w:rsidR="00E22F4C" w:rsidRDefault="00E22F4C">
      <w:pPr>
        <w:pStyle w:val="a4"/>
        <w:spacing w:before="40" w:beforeAutospacing="0" w:after="40" w:afterAutospacing="0"/>
        <w:divId w:val="698092993"/>
        <w:rPr>
          <w:sz w:val="18"/>
          <w:szCs w:val="18"/>
        </w:rPr>
      </w:pPr>
      <w:r>
        <w:rPr>
          <w:rFonts w:ascii="Times New Roman" w:hAnsi="Times New Roman" w:cs="Times New Roman"/>
          <w:color w:val="000000"/>
          <w:sz w:val="18"/>
          <w:szCs w:val="18"/>
        </w:rPr>
        <w:t>1</w:t>
      </w:r>
      <w:r>
        <w:rPr>
          <w:rFonts w:hint="eastAsia"/>
          <w:color w:val="000000"/>
          <w:sz w:val="18"/>
          <w:szCs w:val="18"/>
        </w:rPr>
        <w:t>、报酬决策程序</w:t>
      </w:r>
      <w:r>
        <w:rPr>
          <w:rFonts w:ascii="Times New Roman" w:hAnsi="Times New Roman" w:cs="Times New Roman"/>
          <w:color w:val="000000"/>
          <w:sz w:val="18"/>
          <w:szCs w:val="18"/>
        </w:rPr>
        <w:t> </w:t>
      </w:r>
    </w:p>
    <w:p w:rsidR="00E22F4C" w:rsidRDefault="00E22F4C">
      <w:pPr>
        <w:pStyle w:val="a4"/>
        <w:spacing w:before="40" w:beforeAutospacing="0" w:after="40" w:afterAutospacing="0"/>
        <w:divId w:val="698092993"/>
        <w:rPr>
          <w:sz w:val="18"/>
          <w:szCs w:val="18"/>
        </w:rPr>
      </w:pPr>
      <w:r>
        <w:rPr>
          <w:rFonts w:hint="eastAsia"/>
          <w:color w:val="000000"/>
          <w:sz w:val="18"/>
          <w:szCs w:val="18"/>
        </w:rPr>
        <w:t>根据《公司章程》、公司《董事会议事规则》、《监事会议事规则》及公司《董事会薪酬与考核委员会实施细则》相关规定：</w:t>
      </w:r>
    </w:p>
    <w:p w:rsidR="00E22F4C" w:rsidRDefault="00E22F4C">
      <w:pPr>
        <w:pStyle w:val="a4"/>
        <w:spacing w:before="40" w:beforeAutospacing="0" w:after="40" w:afterAutospacing="0"/>
        <w:divId w:val="698092993"/>
        <w:rPr>
          <w:sz w:val="18"/>
          <w:szCs w:val="18"/>
        </w:rPr>
      </w:pPr>
      <w:r>
        <w:rPr>
          <w:rFonts w:hint="eastAsia"/>
          <w:color w:val="000000"/>
          <w:sz w:val="18"/>
          <w:szCs w:val="18"/>
        </w:rPr>
        <w:t>（</w:t>
      </w:r>
      <w:r>
        <w:rPr>
          <w:rFonts w:ascii="Times New Roman" w:hAnsi="Times New Roman" w:cs="Times New Roman"/>
          <w:color w:val="000000"/>
          <w:sz w:val="18"/>
          <w:szCs w:val="18"/>
        </w:rPr>
        <w:t>1</w:t>
      </w:r>
      <w:r>
        <w:rPr>
          <w:rFonts w:hint="eastAsia"/>
          <w:color w:val="000000"/>
          <w:sz w:val="18"/>
          <w:szCs w:val="18"/>
        </w:rPr>
        <w:t>）公司董事、高管的报酬由公司董事会薪酬与考核委员会确定后提交董事会审核，其中董事薪酬由公司股东大会批准后实施。</w:t>
      </w:r>
    </w:p>
    <w:p w:rsidR="00E22F4C" w:rsidRDefault="00E22F4C">
      <w:pPr>
        <w:pStyle w:val="a4"/>
        <w:spacing w:before="40" w:beforeAutospacing="0" w:after="40" w:afterAutospacing="0"/>
        <w:divId w:val="698092993"/>
        <w:rPr>
          <w:sz w:val="18"/>
          <w:szCs w:val="18"/>
        </w:rPr>
      </w:pPr>
      <w:r>
        <w:rPr>
          <w:rFonts w:hint="eastAsia"/>
          <w:color w:val="000000"/>
          <w:sz w:val="18"/>
          <w:szCs w:val="18"/>
        </w:rPr>
        <w:t>（</w:t>
      </w:r>
      <w:r>
        <w:rPr>
          <w:rFonts w:ascii="Times New Roman" w:hAnsi="Times New Roman" w:cs="Times New Roman"/>
          <w:color w:val="000000"/>
          <w:sz w:val="18"/>
          <w:szCs w:val="18"/>
        </w:rPr>
        <w:t>2</w:t>
      </w:r>
      <w:r>
        <w:rPr>
          <w:rFonts w:hint="eastAsia"/>
          <w:color w:val="000000"/>
          <w:sz w:val="18"/>
          <w:szCs w:val="18"/>
        </w:rPr>
        <w:t>）公司监事的报酬由监事会审核后，提交公司股东大会批准后实施。</w:t>
      </w:r>
    </w:p>
    <w:p w:rsidR="00E22F4C" w:rsidRDefault="00E22F4C">
      <w:pPr>
        <w:pStyle w:val="a4"/>
        <w:spacing w:before="40" w:beforeAutospacing="0" w:after="40" w:afterAutospacing="0"/>
        <w:divId w:val="698092993"/>
        <w:rPr>
          <w:sz w:val="18"/>
          <w:szCs w:val="18"/>
        </w:rPr>
      </w:pPr>
      <w:r>
        <w:rPr>
          <w:rFonts w:ascii="Times New Roman" w:hAnsi="Times New Roman" w:cs="Times New Roman"/>
          <w:color w:val="000000"/>
          <w:sz w:val="18"/>
          <w:szCs w:val="18"/>
        </w:rPr>
        <w:t>2</w:t>
      </w:r>
      <w:r>
        <w:rPr>
          <w:rFonts w:hint="eastAsia"/>
          <w:color w:val="000000"/>
          <w:sz w:val="18"/>
          <w:szCs w:val="18"/>
        </w:rPr>
        <w:t>、报酬确定依据</w:t>
      </w:r>
    </w:p>
    <w:p w:rsidR="00E22F4C" w:rsidRDefault="00E22F4C">
      <w:pPr>
        <w:pStyle w:val="a4"/>
        <w:spacing w:before="40" w:beforeAutospacing="0" w:after="40" w:afterAutospacing="0"/>
        <w:divId w:val="698092993"/>
        <w:rPr>
          <w:sz w:val="18"/>
          <w:szCs w:val="18"/>
        </w:rPr>
      </w:pPr>
      <w:r>
        <w:rPr>
          <w:rFonts w:hint="eastAsia"/>
          <w:color w:val="000000"/>
          <w:sz w:val="18"/>
          <w:szCs w:val="18"/>
        </w:rPr>
        <w:t>（</w:t>
      </w:r>
      <w:r>
        <w:rPr>
          <w:rFonts w:ascii="Times New Roman" w:hAnsi="Times New Roman" w:cs="Times New Roman"/>
          <w:color w:val="000000"/>
          <w:sz w:val="18"/>
          <w:szCs w:val="18"/>
        </w:rPr>
        <w:t>1</w:t>
      </w:r>
      <w:r>
        <w:rPr>
          <w:rFonts w:hint="eastAsia"/>
          <w:color w:val="000000"/>
          <w:sz w:val="18"/>
          <w:szCs w:val="18"/>
        </w:rPr>
        <w:t>）在公司任职的董事、监事按其任职情况领取报酬，不在公司任职的董事、监事只领取相应的津贴。</w:t>
      </w:r>
    </w:p>
    <w:p w:rsidR="00E22F4C" w:rsidRDefault="00E22F4C">
      <w:pPr>
        <w:pStyle w:val="a4"/>
        <w:spacing w:before="40" w:beforeAutospacing="0" w:after="40" w:afterAutospacing="0"/>
        <w:divId w:val="698092993"/>
        <w:rPr>
          <w:sz w:val="18"/>
          <w:szCs w:val="18"/>
        </w:rPr>
      </w:pPr>
      <w:r>
        <w:rPr>
          <w:rFonts w:hint="eastAsia"/>
          <w:color w:val="000000"/>
          <w:sz w:val="18"/>
          <w:szCs w:val="18"/>
        </w:rPr>
        <w:t>（</w:t>
      </w:r>
      <w:r>
        <w:rPr>
          <w:rFonts w:ascii="Times New Roman" w:hAnsi="Times New Roman" w:cs="Times New Roman"/>
          <w:color w:val="000000"/>
          <w:sz w:val="18"/>
          <w:szCs w:val="18"/>
        </w:rPr>
        <w:t>2</w:t>
      </w:r>
      <w:r>
        <w:rPr>
          <w:rFonts w:hint="eastAsia"/>
          <w:color w:val="000000"/>
          <w:sz w:val="18"/>
          <w:szCs w:val="18"/>
        </w:rPr>
        <w:t>）公司高级管理人员采用年薪制，公司结合高级管理人员的工作能力、履职情况、年度责任目标完成情况确定其报酬。</w:t>
      </w:r>
    </w:p>
    <w:p w:rsidR="00E22F4C" w:rsidRDefault="00E22F4C">
      <w:pPr>
        <w:pStyle w:val="a4"/>
        <w:spacing w:before="40" w:beforeAutospacing="0" w:after="40" w:afterAutospacing="0"/>
        <w:divId w:val="698092993"/>
        <w:rPr>
          <w:sz w:val="18"/>
          <w:szCs w:val="18"/>
        </w:rPr>
      </w:pPr>
      <w:r>
        <w:rPr>
          <w:rFonts w:ascii="Times New Roman" w:hAnsi="Times New Roman" w:cs="Times New Roman"/>
          <w:color w:val="000000"/>
          <w:sz w:val="18"/>
          <w:szCs w:val="18"/>
        </w:rPr>
        <w:t>3</w:t>
      </w:r>
      <w:r>
        <w:rPr>
          <w:rFonts w:hint="eastAsia"/>
          <w:color w:val="000000"/>
          <w:sz w:val="18"/>
          <w:szCs w:val="18"/>
        </w:rPr>
        <w:t>、实际支付情况</w:t>
      </w:r>
      <w:r>
        <w:rPr>
          <w:rFonts w:ascii="Times New Roman" w:hAnsi="Times New Roman" w:cs="Times New Roman"/>
          <w:color w:val="000000"/>
          <w:sz w:val="18"/>
          <w:szCs w:val="18"/>
        </w:rPr>
        <w:t> </w:t>
      </w:r>
    </w:p>
    <w:p w:rsidR="00E22F4C" w:rsidRDefault="00E22F4C">
      <w:pPr>
        <w:pStyle w:val="a4"/>
        <w:spacing w:before="40" w:beforeAutospacing="0" w:after="40" w:afterAutospacing="0"/>
        <w:jc w:val="both"/>
        <w:divId w:val="698092993"/>
        <w:rPr>
          <w:sz w:val="18"/>
          <w:szCs w:val="18"/>
        </w:rPr>
      </w:pPr>
      <w:r>
        <w:rPr>
          <w:rFonts w:hint="eastAsia"/>
          <w:color w:val="000000"/>
          <w:sz w:val="18"/>
          <w:szCs w:val="18"/>
        </w:rPr>
        <w:t>公司董事、监事的津贴以及高级管理人员的基本年薪根据其津贴或年薪总额平均按月发放。</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公司报告期内董事、监事和高级管理人员报酬情况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姓名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职务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性别</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年龄</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任职状态</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从公司获得的税前报酬总额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是否在公司关联方获取报酬</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董事长</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陈伟东</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董事、总经理</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陈伟儿</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董事、副总经理</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周伟平</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董事、副总经理</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廖俊雄</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肖连生</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高再荣</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姚明钦</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监事会主席</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付胜</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卢勇甘</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监事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李盛意</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董事会秘书、副总经理</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戴湘平</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副总经理</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郑丽芳</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财务总监</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263.4</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E22F4C" w:rsidRDefault="00381575">
      <w:pPr>
        <w:pStyle w:val="2"/>
        <w:spacing w:before="300" w:after="300" w:line="320" w:lineRule="exact"/>
        <w:rPr>
          <w:rFonts w:ascii="宋体" w:eastAsia="宋体" w:hAnsi="宋体" w:cs="宋体"/>
          <w:b/>
          <w:bCs/>
          <w:sz w:val="24"/>
          <w:szCs w:val="24"/>
        </w:rPr>
      </w:pPr>
      <w:bookmarkStart w:id="65" w:name="_Toc988954"/>
      <w:r>
        <w:rPr>
          <w:rFonts w:ascii="宋体" w:eastAsia="宋体" w:hAnsi="宋体" w:cs="宋体"/>
          <w:b/>
          <w:bCs/>
          <w:sz w:val="24"/>
          <w:szCs w:val="24"/>
        </w:rPr>
        <w:t>六、报告期内董事履行职责的情况</w:t>
      </w:r>
      <w:bookmarkEnd w:id="65"/>
    </w:p>
    <w:p w:rsidR="00E22F4C" w:rsidRDefault="00381575">
      <w:pPr>
        <w:pStyle w:val="3"/>
        <w:spacing w:line="280" w:lineRule="exact"/>
        <w:jc w:val="left"/>
        <w:rPr>
          <w:rFonts w:ascii="宋体" w:hAnsi="宋体" w:cs="宋体"/>
          <w:b/>
          <w:bCs/>
        </w:rPr>
      </w:pPr>
      <w:bookmarkStart w:id="66" w:name="_Toc988955"/>
      <w:r>
        <w:rPr>
          <w:rFonts w:ascii="宋体" w:hAnsi="宋体" w:cs="宋体"/>
          <w:b/>
          <w:bCs/>
        </w:rPr>
        <w:t>1、本报告期董事会情况</w:t>
      </w:r>
      <w:bookmarkEnd w:id="66"/>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会议届次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会议决议</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第四届董事会2022年第一次临时会议</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2022年04月29日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2022年04月30日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详见刊登于巨潮资讯网（http://www.cninfo.com.cn）《第四届董事会2022年第一次临时会议公告》公告编号：2022-009</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第四届董事会2022年第二次临时会议</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2022年08月09日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2022年08月10日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详见刊登于巨潮资讯网（http://www.cninfo.com.cn）《第四届董事会2022年第二次临时会议公告》公告编号：2022-037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第四届董事会2022年第三次临时会议</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2022年08月22日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2022年08月23日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详见刊登于巨潮资讯网（http://www.cninfo.com.cn）《第四届董事会2022年第三次临时会议公告》公告编号：2022-045</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第四届董事会2022年第四次临时会议</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2022年10月27日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2022年10月28日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第四届董事会第三次会议</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2022年11月15日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2022年11月16日</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详见刊登于巨潮资讯网（http://www.cninfo.com.cn）&lt;第四届董事会第三次会议公告&gt;公告编号：2022-054</w:t>
            </w:r>
          </w:p>
        </w:tc>
      </w:tr>
    </w:tbl>
    <w:p w:rsidR="00E22F4C" w:rsidRDefault="00381575">
      <w:pPr>
        <w:pStyle w:val="3"/>
        <w:spacing w:line="280" w:lineRule="exact"/>
        <w:jc w:val="left"/>
        <w:rPr>
          <w:rFonts w:ascii="宋体" w:hAnsi="宋体" w:cs="宋体"/>
          <w:b/>
          <w:bCs/>
        </w:rPr>
      </w:pPr>
      <w:bookmarkStart w:id="67" w:name="_Toc988956"/>
      <w:r>
        <w:rPr>
          <w:rFonts w:ascii="宋体" w:hAnsi="宋体" w:cs="宋体"/>
          <w:b/>
          <w:bCs/>
        </w:rPr>
        <w:t>2、董事出席董事会及股东大会的情况</w:t>
      </w:r>
      <w:bookmarkEnd w:id="67"/>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E22F4C">
        <w:trPr>
          <w:trHeight w:val="240"/>
        </w:trPr>
        <w:tc>
          <w:tcPr>
            <w:tcW w:w="9639"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董事出席董事会及股东大会的情况</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董事姓名</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本报告期应参加董事会次数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现场出席董事会次数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以通讯方式参加董事会次数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委托出席董事会次数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是否连续两次未亲自参加董事会会议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出席股东大会次数</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陈伟东</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陈伟儿</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周伟平</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廖俊雄</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肖连生</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高再荣</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连续两次未亲自出席董事会的说明</w:t>
      </w:r>
    </w:p>
    <w:p w:rsidR="00E22F4C" w:rsidRDefault="00E22F4C">
      <w:pPr>
        <w:pStyle w:val="a4"/>
        <w:spacing w:line="560" w:lineRule="atLeast"/>
        <w:ind w:firstLine="408"/>
        <w:divId w:val="1958178720"/>
        <w:rPr>
          <w:sz w:val="18"/>
          <w:szCs w:val="18"/>
        </w:rPr>
      </w:pPr>
      <w:r>
        <w:rPr>
          <w:rFonts w:hint="eastAsia"/>
          <w:sz w:val="18"/>
          <w:szCs w:val="18"/>
        </w:rPr>
        <w:t>不适用</w:t>
      </w:r>
    </w:p>
    <w:p w:rsidR="00E22F4C" w:rsidRDefault="00381575">
      <w:pPr>
        <w:pStyle w:val="3"/>
        <w:spacing w:line="280" w:lineRule="exact"/>
        <w:jc w:val="left"/>
        <w:rPr>
          <w:rFonts w:ascii="宋体" w:hAnsi="宋体" w:cs="宋体"/>
          <w:b/>
          <w:bCs/>
        </w:rPr>
      </w:pPr>
      <w:bookmarkStart w:id="68" w:name="_Toc988957"/>
      <w:r>
        <w:rPr>
          <w:rFonts w:ascii="宋体" w:hAnsi="宋体" w:cs="宋体"/>
          <w:b/>
          <w:bCs/>
        </w:rPr>
        <w:lastRenderedPageBreak/>
        <w:t>3、董事对公司有关事项提出异议的情况</w:t>
      </w:r>
      <w:bookmarkEnd w:id="6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董事对公司有关事项是否提出异议</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报告期内董事对公司有关事项未提出异议。</w:t>
      </w:r>
    </w:p>
    <w:p w:rsidR="00E22F4C" w:rsidRDefault="00381575">
      <w:pPr>
        <w:pStyle w:val="3"/>
        <w:spacing w:line="280" w:lineRule="exact"/>
        <w:jc w:val="left"/>
        <w:rPr>
          <w:rFonts w:ascii="宋体" w:hAnsi="宋体" w:cs="宋体"/>
          <w:b/>
          <w:bCs/>
        </w:rPr>
      </w:pPr>
      <w:bookmarkStart w:id="69" w:name="_Toc988958"/>
      <w:r>
        <w:rPr>
          <w:rFonts w:ascii="宋体" w:hAnsi="宋体" w:cs="宋体"/>
          <w:b/>
          <w:bCs/>
        </w:rPr>
        <w:t>4、董事履行职责的其他说明</w:t>
      </w:r>
      <w:bookmarkEnd w:id="6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董事对公司有关建议是否被采纳</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董事对公司有关建议被采纳或未被采纳的说明</w:t>
      </w:r>
    </w:p>
    <w:p w:rsidR="00E22F4C" w:rsidRDefault="00E22F4C">
      <w:pPr>
        <w:pStyle w:val="a4"/>
        <w:spacing w:before="40" w:beforeAutospacing="0" w:after="40" w:afterAutospacing="0"/>
        <w:divId w:val="183718036"/>
        <w:rPr>
          <w:sz w:val="18"/>
          <w:szCs w:val="18"/>
        </w:rPr>
      </w:pPr>
      <w:r>
        <w:rPr>
          <w:rFonts w:hint="eastAsia"/>
          <w:color w:val="000000"/>
          <w:sz w:val="18"/>
          <w:szCs w:val="18"/>
        </w:rPr>
        <w:t>董事对公司有关建议被采纳或未被采纳的说明</w:t>
      </w:r>
    </w:p>
    <w:p w:rsidR="00E22F4C" w:rsidRDefault="00E22F4C">
      <w:pPr>
        <w:pStyle w:val="a4"/>
        <w:spacing w:before="0" w:beforeAutospacing="0" w:after="0" w:afterAutospacing="0"/>
        <w:divId w:val="183718036"/>
        <w:rPr>
          <w:sz w:val="18"/>
          <w:szCs w:val="18"/>
        </w:rPr>
      </w:pPr>
      <w:r>
        <w:rPr>
          <w:rFonts w:hint="eastAsia"/>
          <w:color w:val="000000"/>
          <w:sz w:val="18"/>
          <w:szCs w:val="18"/>
        </w:rPr>
        <w:t>公司董事严格按照《公司法》《证券法》《上市公司治理准则》《深圳证券交易所股票上市规则》《公司章程》等法律法规及公司制度的规定，依法履行职责。报告期内，公司董事认真出席董事会会议和股东大会，并对提交董事会审议的各项议案深入讨论，为公司发展和规范运作起到积极作用。同时，公司董事积极参加有关培训，提高履职能力，主动关注公司经营管理信息、财务状况、重大事项等，推动公司生产经营各项工作持续、稳定、健康发展。</w:t>
      </w:r>
    </w:p>
    <w:p w:rsidR="00E22F4C" w:rsidRDefault="00381575">
      <w:pPr>
        <w:pStyle w:val="2"/>
        <w:spacing w:before="300" w:after="300" w:line="320" w:lineRule="exact"/>
        <w:rPr>
          <w:rFonts w:ascii="宋体" w:eastAsia="宋体" w:hAnsi="宋体" w:cs="宋体"/>
          <w:b/>
          <w:bCs/>
          <w:sz w:val="24"/>
          <w:szCs w:val="24"/>
        </w:rPr>
      </w:pPr>
      <w:bookmarkStart w:id="70" w:name="_Toc988959"/>
      <w:r>
        <w:rPr>
          <w:rFonts w:ascii="宋体" w:eastAsia="宋体" w:hAnsi="宋体" w:cs="宋体"/>
          <w:b/>
          <w:bCs/>
          <w:sz w:val="24"/>
          <w:szCs w:val="24"/>
        </w:rPr>
        <w:t>七、董事会下设专门委员会在报告期内的情况</w:t>
      </w:r>
      <w:bookmarkEnd w:id="70"/>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委员会名称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成员情况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召开会议次数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会议内容</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提出的重要意见和建议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其他履行职责的情况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异议事项具体情况（如有）</w:t>
            </w:r>
          </w:p>
        </w:tc>
      </w:tr>
      <w:tr w:rsidR="00E22F4C">
        <w:trPr>
          <w:trHeight w:val="240"/>
        </w:trPr>
        <w:tc>
          <w:tcPr>
            <w:tcW w:w="1205"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薪酬与考核委员会</w:t>
            </w:r>
          </w:p>
        </w:tc>
        <w:tc>
          <w:tcPr>
            <w:tcW w:w="1205"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陈启丰、肖连生、廖俊雄</w:t>
            </w:r>
          </w:p>
        </w:tc>
        <w:tc>
          <w:tcPr>
            <w:tcW w:w="1205"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2022年04月29日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《关于考评广东翔鹭钨业股份有限公司高级管理人员2021年业绩指标完成情况的议案》。</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薪酬与考核委员会同意公司高级管理人员2021年业绩指标完成情况并同意将这一事项提交公司董事会审议。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薪酬与考核委员会</w:t>
            </w:r>
          </w:p>
        </w:tc>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陈启丰、肖连生、廖俊雄</w:t>
            </w:r>
          </w:p>
        </w:tc>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2022年11月15日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《关于公司2021年限制性股票激励计划首次部分第一个限售期解除限售条件成就的议案》。</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薪酬与考核委员会同意公司2021年限制性股票激励计划首次部分第一个限售期解除限售条件成就，并同意将上述事项提交公司董事会审议。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提名委员会</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陈伟东、高再荣、廖俊雄</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2022年04月29日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《关于广东翔鹭钨业股份有限公司董事、高级管理人员2021年工作表现情况的</w:t>
            </w:r>
            <w:r>
              <w:rPr>
                <w:rFonts w:ascii="宋体" w:eastAsia="宋体" w:hAnsi="宋体" w:cs="宋体"/>
                <w:sz w:val="18"/>
                <w:szCs w:val="18"/>
              </w:rPr>
              <w:lastRenderedPageBreak/>
              <w:t>议案》；</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提名委员会同意公司董事、高级管理人员2021年工作表现情况，并同意将上述事</w:t>
            </w:r>
            <w:r>
              <w:rPr>
                <w:rFonts w:ascii="宋体" w:eastAsia="宋体" w:hAnsi="宋体" w:cs="宋体"/>
                <w:sz w:val="18"/>
                <w:szCs w:val="18"/>
              </w:rPr>
              <w:lastRenderedPageBreak/>
              <w:t>项提交公司董事会审议。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战略委员会</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陈启丰、高再荣、肖连生</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2022年04月29日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《关于总结2021年广东翔鹭钨业股份有限公司发展规划及战略目标实施情况的议案》</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战略委员会同意公司发展规划及战略目标实施情况。</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205"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审计委员会</w:t>
            </w:r>
          </w:p>
        </w:tc>
        <w:tc>
          <w:tcPr>
            <w:tcW w:w="1205"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廖俊雄、肖连生、陈启丰</w:t>
            </w:r>
          </w:p>
        </w:tc>
        <w:tc>
          <w:tcPr>
            <w:tcW w:w="1205" w:type="dxa"/>
            <w:vMerge w:val="restart"/>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2022年01月30日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《广东翔鹭钨业股份有限公司2022年内部审计工作计划》；《广东翔鹭钨业股份有限公司2022年第一季度内部审计工作计划》</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审计委员会认为公司2022年内部审计报告，公司2022年第一季度内部审计工作计划，符合公司实际情况，同意提交公司董事会审议。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审计委员会</w:t>
            </w:r>
          </w:p>
        </w:tc>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廖俊雄、肖连生、陈启丰</w:t>
            </w:r>
          </w:p>
        </w:tc>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2022年04月29日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《广东翔鹭钨业股份有限公司2021年内部自我控制评价报告》；《广东翔鹭钨业股份有限公司2021年审计报告》《关于续聘公司2022年度审计机构的议案》《广东翔鹭钨业股份有限公司2022年第一季度内部审计报告》</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审议《广东翔鹭钨业股份有限公司2022年第二季度内部审计工作计划》</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审计委员会认为公司2021年内部自我控制评价报告，公司编制的2021年度审计报告，2022年第一季度内部审计报告，2022年第二季度内部审计工作计划，符合公司实际情况，同意提交公司董事会审议。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审计委员会</w:t>
            </w:r>
          </w:p>
        </w:tc>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廖俊雄、肖连生、陈启丰</w:t>
            </w:r>
          </w:p>
        </w:tc>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2022年07月15日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《广东翔鹭钨业股份有限公司2022年第二季度内部审计报告》；《广东翔鹭钨业股份有限公司2022年第三</w:t>
            </w:r>
            <w:r>
              <w:rPr>
                <w:rFonts w:ascii="宋体" w:eastAsia="宋体" w:hAnsi="宋体" w:cs="宋体"/>
                <w:sz w:val="18"/>
                <w:szCs w:val="18"/>
              </w:rPr>
              <w:lastRenderedPageBreak/>
              <w:t>季度内部审计工作计划》</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审计委员会认为公司第二季度内部审计报告，公司2022年第三季度内部审计工作计划，符合公司实际</w:t>
            </w:r>
            <w:r>
              <w:rPr>
                <w:rFonts w:ascii="宋体" w:eastAsia="宋体" w:hAnsi="宋体" w:cs="宋体"/>
                <w:sz w:val="18"/>
                <w:szCs w:val="18"/>
              </w:rPr>
              <w:lastRenderedPageBreak/>
              <w:t>情况，同意提交公司董事会审议。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审计委员会</w:t>
            </w:r>
          </w:p>
        </w:tc>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廖俊雄、肖连生、陈启丰</w:t>
            </w:r>
          </w:p>
        </w:tc>
        <w:tc>
          <w:tcPr>
            <w:tcW w:w="1205" w:type="dxa"/>
            <w:vMerge/>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2022年10月21日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《广东翔鹭钨业股份有限公司2022年第三季度内部审计报告》：《广东翔鹭钨业股份有限公司2022年第四季度内部审计工作计划》</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审计委员会认为公司第三季度内部审计报告，公司2022年第四季度内部审计工作计划，符合公司实际情况，同意提交公司董事会审议。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bl>
    <w:p w:rsidR="00E22F4C" w:rsidRDefault="00381575">
      <w:pPr>
        <w:pStyle w:val="2"/>
        <w:spacing w:before="300" w:after="300" w:line="320" w:lineRule="exact"/>
        <w:rPr>
          <w:rFonts w:ascii="宋体" w:eastAsia="宋体" w:hAnsi="宋体" w:cs="宋体"/>
          <w:b/>
          <w:bCs/>
          <w:sz w:val="24"/>
          <w:szCs w:val="24"/>
        </w:rPr>
      </w:pPr>
      <w:bookmarkStart w:id="71" w:name="_Toc988960"/>
      <w:r>
        <w:rPr>
          <w:rFonts w:ascii="宋体" w:eastAsia="宋体" w:hAnsi="宋体" w:cs="宋体"/>
          <w:b/>
          <w:bCs/>
          <w:sz w:val="24"/>
          <w:szCs w:val="24"/>
        </w:rPr>
        <w:t>八、监事会工作情况</w:t>
      </w:r>
      <w:bookmarkEnd w:id="7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监事会在报告期内的监督活动中发现公司是否存在风险</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监事会对报告期内的监督事项无异议。</w:t>
      </w:r>
    </w:p>
    <w:p w:rsidR="00E22F4C" w:rsidRDefault="00381575">
      <w:pPr>
        <w:pStyle w:val="2"/>
        <w:spacing w:before="300" w:after="300" w:line="320" w:lineRule="exact"/>
        <w:rPr>
          <w:rFonts w:ascii="宋体" w:eastAsia="宋体" w:hAnsi="宋体" w:cs="宋体"/>
          <w:b/>
          <w:bCs/>
          <w:sz w:val="24"/>
          <w:szCs w:val="24"/>
        </w:rPr>
      </w:pPr>
      <w:bookmarkStart w:id="72" w:name="_Toc988961"/>
      <w:r>
        <w:rPr>
          <w:rFonts w:ascii="宋体" w:eastAsia="宋体" w:hAnsi="宋体" w:cs="宋体"/>
          <w:b/>
          <w:bCs/>
          <w:sz w:val="24"/>
          <w:szCs w:val="24"/>
        </w:rPr>
        <w:t>九、公司员工情况</w:t>
      </w:r>
      <w:bookmarkEnd w:id="72"/>
    </w:p>
    <w:p w:rsidR="00E22F4C" w:rsidRDefault="00381575">
      <w:pPr>
        <w:pStyle w:val="3"/>
        <w:spacing w:line="280" w:lineRule="exact"/>
        <w:jc w:val="left"/>
        <w:rPr>
          <w:rFonts w:ascii="宋体" w:hAnsi="宋体" w:cs="宋体"/>
          <w:b/>
          <w:bCs/>
        </w:rPr>
      </w:pPr>
      <w:bookmarkStart w:id="73" w:name="_Toc988962"/>
      <w:r>
        <w:rPr>
          <w:rFonts w:ascii="宋体" w:hAnsi="宋体" w:cs="宋体"/>
          <w:b/>
          <w:bCs/>
        </w:rPr>
        <w:t>1、员工数量、专业构成及教育程度</w:t>
      </w:r>
      <w:bookmarkEnd w:id="73"/>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报告期末母公司在职员工的数量（人）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报告期末主要子公司在职员工的数量（人）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369</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报告期末在职员工的数量合计（人）</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896</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当期领取薪酬员工总人数（人）</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896</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母公司及主要子公司需承担费用的离退休职工人数（人）</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w:t>
            </w:r>
          </w:p>
        </w:tc>
      </w:tr>
      <w:tr w:rsidR="00E22F4C">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专业构成人数（人）</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生产人员</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销售人员</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技术人员</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218</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财务人员</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行政人员</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896</w:t>
            </w:r>
          </w:p>
        </w:tc>
      </w:tr>
      <w:tr w:rsidR="00E22F4C">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教育程度</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教育程度类别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数量（人）</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本科及以上</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大专</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大专以下</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896</w:t>
            </w:r>
          </w:p>
        </w:tc>
      </w:tr>
    </w:tbl>
    <w:p w:rsidR="00E22F4C" w:rsidRDefault="00381575">
      <w:pPr>
        <w:pStyle w:val="3"/>
        <w:spacing w:line="280" w:lineRule="exact"/>
        <w:jc w:val="left"/>
        <w:rPr>
          <w:rFonts w:ascii="宋体" w:hAnsi="宋体" w:cs="宋体"/>
          <w:b/>
          <w:bCs/>
        </w:rPr>
      </w:pPr>
      <w:bookmarkStart w:id="74" w:name="_Toc988963"/>
      <w:r>
        <w:rPr>
          <w:rFonts w:ascii="宋体" w:hAnsi="宋体" w:cs="宋体"/>
          <w:b/>
          <w:bCs/>
        </w:rPr>
        <w:lastRenderedPageBreak/>
        <w:t>2、薪酬政策</w:t>
      </w:r>
      <w:bookmarkEnd w:id="74"/>
    </w:p>
    <w:p w:rsidR="00E22F4C" w:rsidRDefault="00E22F4C">
      <w:pPr>
        <w:pStyle w:val="a4"/>
        <w:spacing w:before="0" w:beforeAutospacing="0" w:after="0" w:afterAutospacing="0"/>
        <w:divId w:val="1899128325"/>
        <w:rPr>
          <w:sz w:val="18"/>
          <w:szCs w:val="18"/>
        </w:rPr>
      </w:pPr>
      <w:r>
        <w:rPr>
          <w:rFonts w:hint="eastAsia"/>
          <w:color w:val="000000"/>
          <w:sz w:val="18"/>
          <w:szCs w:val="18"/>
        </w:rPr>
        <w:t>公司在严格遵守《劳动法》、《劳动合同法》等有关法律法规、部门规章和规范性文件的基础上，结合行业及公司经营特点，充分考虑公平性和竞争力，制定了较为完善的薪酬管理制度及激励机制。目前实行固定薪资</w:t>
      </w:r>
      <w:r>
        <w:rPr>
          <w:rFonts w:ascii="Times New Roman" w:hAnsi="Times New Roman" w:cs="Times New Roman"/>
          <w:color w:val="000000"/>
          <w:sz w:val="18"/>
          <w:szCs w:val="18"/>
        </w:rPr>
        <w:t>+</w:t>
      </w:r>
      <w:r>
        <w:rPr>
          <w:rFonts w:hint="eastAsia"/>
          <w:color w:val="000000"/>
          <w:sz w:val="18"/>
          <w:szCs w:val="18"/>
        </w:rPr>
        <w:t>绩效奖金的薪酬管理模式，固定工资包括基础工资、职级工资、岗位工资等固定项目，绩效奖金包括月度绩效奖金、季度绩效奖金和年度考核奖金。员工固定工资是员工正常工作时间的工资，主要依据岗位责任、部门工作分工、职能水平高低及解决问题能力确定。实行全员绩效考核，公司员工绩效奖金和公司产量、业绩、个人工作表现挂钩。报告期内，公司充分评价团队和个人的工作业绩，向员工提供富有竞争力的薪酬，有效提升了员工执行力和责任意识，有利于留住和吸引优秀人才，为公司发展提供人力资源保障。</w:t>
      </w:r>
    </w:p>
    <w:p w:rsidR="00E22F4C" w:rsidRDefault="00381575">
      <w:pPr>
        <w:pStyle w:val="3"/>
        <w:spacing w:line="280" w:lineRule="exact"/>
        <w:jc w:val="left"/>
        <w:rPr>
          <w:rFonts w:ascii="宋体" w:hAnsi="宋体" w:cs="宋体"/>
          <w:b/>
          <w:bCs/>
        </w:rPr>
      </w:pPr>
      <w:bookmarkStart w:id="75" w:name="_Toc988964"/>
      <w:r>
        <w:rPr>
          <w:rFonts w:ascii="宋体" w:hAnsi="宋体" w:cs="宋体"/>
          <w:b/>
          <w:bCs/>
        </w:rPr>
        <w:t>3、培训计划</w:t>
      </w:r>
      <w:bookmarkEnd w:id="75"/>
    </w:p>
    <w:p w:rsidR="00E22F4C" w:rsidRDefault="00E22F4C">
      <w:pPr>
        <w:pStyle w:val="a4"/>
        <w:spacing w:before="0" w:beforeAutospacing="0" w:after="0" w:afterAutospacing="0"/>
        <w:divId w:val="2108116538"/>
        <w:rPr>
          <w:sz w:val="18"/>
          <w:szCs w:val="18"/>
        </w:rPr>
      </w:pPr>
      <w:r>
        <w:rPr>
          <w:rFonts w:hint="eastAsia"/>
          <w:color w:val="000000"/>
          <w:sz w:val="18"/>
          <w:szCs w:val="18"/>
        </w:rPr>
        <w:t>公司注重员工综合能力培养和人才梯队建设，致力于学习型组织建设，积极寻求各种内外部培训资源和渠道，建立了较为完善的公司培训体系，主要包括公司统一集训、新员工入职培训、部门内部培训、外部培训、团队拓展训练及员工自我学习等多种形式，提升全体员工岗位技能和专业知识，以满足公司组织能力与员工能力发展需要。</w:t>
      </w:r>
    </w:p>
    <w:p w:rsidR="00E22F4C" w:rsidRDefault="00381575">
      <w:pPr>
        <w:pStyle w:val="3"/>
        <w:spacing w:line="280" w:lineRule="exact"/>
        <w:jc w:val="left"/>
        <w:rPr>
          <w:rFonts w:ascii="宋体" w:hAnsi="宋体" w:cs="宋体"/>
          <w:b/>
          <w:bCs/>
        </w:rPr>
      </w:pPr>
      <w:bookmarkStart w:id="76" w:name="_Toc988965"/>
      <w:r>
        <w:rPr>
          <w:rFonts w:ascii="宋体" w:hAnsi="宋体" w:cs="宋体"/>
          <w:b/>
          <w:bCs/>
        </w:rPr>
        <w:t>4、劳务外包情况</w:t>
      </w:r>
      <w:bookmarkEnd w:id="7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劳务外包的工时总数（小时）</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72,147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劳务外包支付的报酬总额（元）</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1,969,614.97</w:t>
            </w:r>
          </w:p>
        </w:tc>
      </w:tr>
    </w:tbl>
    <w:p w:rsidR="00E22F4C" w:rsidRDefault="00381575">
      <w:pPr>
        <w:pStyle w:val="2"/>
        <w:spacing w:before="300" w:after="300" w:line="320" w:lineRule="exact"/>
        <w:rPr>
          <w:rFonts w:ascii="宋体" w:eastAsia="宋体" w:hAnsi="宋体" w:cs="宋体"/>
          <w:b/>
          <w:bCs/>
          <w:sz w:val="24"/>
          <w:szCs w:val="24"/>
        </w:rPr>
      </w:pPr>
      <w:bookmarkStart w:id="77" w:name="_Toc988966"/>
      <w:r>
        <w:rPr>
          <w:rFonts w:ascii="宋体" w:eastAsia="宋体" w:hAnsi="宋体" w:cs="宋体"/>
          <w:b/>
          <w:bCs/>
          <w:sz w:val="24"/>
          <w:szCs w:val="24"/>
        </w:rPr>
        <w:t>十、公司利润分配及资本公积金转增股本情况</w:t>
      </w:r>
      <w:bookmarkEnd w:id="77"/>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报告期内利润分配政策，特别是现金分红政策的制定、执行或调整情况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spacing w:before="0" w:beforeAutospacing="0" w:after="0" w:afterAutospacing="0"/>
        <w:ind w:firstLine="360"/>
        <w:jc w:val="both"/>
        <w:divId w:val="918750361"/>
        <w:rPr>
          <w:sz w:val="18"/>
          <w:szCs w:val="18"/>
        </w:rPr>
      </w:pPr>
      <w:r>
        <w:rPr>
          <w:rFonts w:hint="eastAsia"/>
          <w:color w:val="000000"/>
          <w:sz w:val="18"/>
          <w:szCs w:val="18"/>
        </w:rPr>
        <w:t>公司重视对投资者的合理回报，《公司章程》中明晰了现金分红事项的标准和比例、决策程序和机制、利润分配的形式。公司严格执行《公司章程》以及股东大会决议，分红标准和比例明确、清晰，相关的决策程序和机制完备，独立董事尽职尽责并发挥应有职责，中小股东有充分表达意见和诉求的机会，中小股东的合法权益得到充分维护。</w:t>
      </w:r>
    </w:p>
    <w:p w:rsidR="00E22F4C" w:rsidRDefault="00E22F4C">
      <w:pPr>
        <w:pStyle w:val="a4"/>
        <w:spacing w:before="0" w:beforeAutospacing="0" w:after="0" w:afterAutospacing="0"/>
        <w:divId w:val="918750361"/>
        <w:rPr>
          <w:sz w:val="18"/>
          <w:szCs w:val="18"/>
        </w:rPr>
      </w:pPr>
      <w:r>
        <w:rPr>
          <w:rFonts w:ascii="Times New Roman" w:hAnsi="Times New Roman" w:cs="Times New Roman"/>
          <w:color w:val="000000"/>
          <w:sz w:val="18"/>
          <w:szCs w:val="18"/>
        </w:rPr>
        <w:t> </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现金分红政策的专项说明</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是否符合公司章程的规定或股东大会决议的要求：</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分红标准和比例是否明确和清晰：</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相关的决策程序和机制是否完备：</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独立董事是否履职尽责并发挥了应有的作用：</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中小股东是否有充分表达意见和诉求的机会，其合法权益是否得到了充分保护：</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现金分红政策进行调整或变更的，条件及程序是否合规、透明：</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公司报告期内盈利且母公司可供股东分配利润为正但未提出现金红利分配预案</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本报告期利润分配及资本公积金转增股本情况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公司计划年度不派发现金红利，不送红股，不以公积金转增股本。</w:t>
      </w:r>
    </w:p>
    <w:p w:rsidR="00E22F4C" w:rsidRDefault="00381575">
      <w:pPr>
        <w:pStyle w:val="2"/>
        <w:spacing w:before="300" w:after="300" w:line="320" w:lineRule="exact"/>
        <w:rPr>
          <w:rFonts w:ascii="宋体" w:eastAsia="宋体" w:hAnsi="宋体" w:cs="宋体"/>
          <w:b/>
          <w:bCs/>
          <w:sz w:val="24"/>
          <w:szCs w:val="24"/>
        </w:rPr>
      </w:pPr>
      <w:bookmarkStart w:id="78" w:name="_Toc988967"/>
      <w:r>
        <w:rPr>
          <w:rFonts w:ascii="宋体" w:eastAsia="宋体" w:hAnsi="宋体" w:cs="宋体"/>
          <w:b/>
          <w:bCs/>
          <w:sz w:val="24"/>
          <w:szCs w:val="24"/>
        </w:rPr>
        <w:lastRenderedPageBreak/>
        <w:t>十一、公司股权激励计划、员工持股计划或其他员工激励措施的实施情况</w:t>
      </w:r>
      <w:bookmarkEnd w:id="78"/>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pStyle w:val="3"/>
        <w:spacing w:line="280" w:lineRule="exact"/>
        <w:jc w:val="left"/>
        <w:rPr>
          <w:rFonts w:ascii="宋体" w:hAnsi="宋体" w:cs="宋体"/>
          <w:b/>
          <w:bCs/>
        </w:rPr>
      </w:pPr>
      <w:bookmarkStart w:id="79" w:name="_Toc988968"/>
      <w:r>
        <w:rPr>
          <w:rFonts w:ascii="宋体" w:hAnsi="宋体" w:cs="宋体"/>
          <w:b/>
          <w:bCs/>
        </w:rPr>
        <w:t>1、股权激励</w:t>
      </w:r>
      <w:bookmarkEnd w:id="79"/>
    </w:p>
    <w:p w:rsidR="00E22F4C" w:rsidRDefault="00E22F4C">
      <w:pPr>
        <w:pStyle w:val="a4"/>
        <w:spacing w:before="0" w:beforeAutospacing="0" w:after="0" w:afterAutospacing="0"/>
        <w:divId w:val="504974932"/>
        <w:rPr>
          <w:sz w:val="18"/>
          <w:szCs w:val="18"/>
        </w:rPr>
      </w:pPr>
      <w:r>
        <w:rPr>
          <w:rFonts w:ascii="Times New Roman" w:hAnsi="Times New Roman" w:cs="Times New Roman"/>
          <w:color w:val="000000"/>
          <w:sz w:val="18"/>
          <w:szCs w:val="18"/>
        </w:rPr>
        <w:t>1</w:t>
      </w:r>
      <w:r>
        <w:rPr>
          <w:rFonts w:hint="eastAsia"/>
          <w:color w:val="000000"/>
          <w:sz w:val="18"/>
          <w:szCs w:val="18"/>
        </w:rPr>
        <w:t>、</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5</w:t>
      </w:r>
      <w:r>
        <w:rPr>
          <w:rFonts w:hint="eastAsia"/>
          <w:color w:val="000000"/>
          <w:sz w:val="18"/>
          <w:szCs w:val="18"/>
        </w:rPr>
        <w:t>日，公司召开第三届董事会第二次会议，审议通过了《关于</w:t>
      </w:r>
      <w:r>
        <w:rPr>
          <w:rFonts w:ascii="Times New Roman" w:hAnsi="Times New Roman" w:cs="Times New Roman"/>
          <w:color w:val="000000"/>
          <w:sz w:val="18"/>
          <w:szCs w:val="18"/>
        </w:rPr>
        <w:t>〈</w:t>
      </w:r>
      <w:r>
        <w:rPr>
          <w:rFonts w:hint="eastAsia"/>
          <w:color w:val="000000"/>
          <w:sz w:val="18"/>
          <w:szCs w:val="18"/>
        </w:rPr>
        <w:t>广东翔鹭钨业股份有限公司</w:t>
      </w:r>
      <w:r>
        <w:rPr>
          <w:rFonts w:ascii="Times New Roman" w:hAnsi="Times New Roman" w:cs="Times New Roman"/>
          <w:color w:val="000000"/>
          <w:sz w:val="18"/>
          <w:szCs w:val="18"/>
        </w:rPr>
        <w:t xml:space="preserve">2018 </w:t>
      </w:r>
      <w:r>
        <w:rPr>
          <w:rFonts w:hint="eastAsia"/>
          <w:color w:val="000000"/>
          <w:sz w:val="18"/>
          <w:szCs w:val="18"/>
        </w:rPr>
        <w:t>年限制性股票激励计划（草案）</w:t>
      </w:r>
      <w:r>
        <w:rPr>
          <w:rFonts w:ascii="Times New Roman" w:hAnsi="Times New Roman" w:cs="Times New Roman"/>
          <w:color w:val="000000"/>
          <w:sz w:val="18"/>
          <w:szCs w:val="18"/>
        </w:rPr>
        <w:t>〉</w:t>
      </w:r>
      <w:r>
        <w:rPr>
          <w:rFonts w:hint="eastAsia"/>
          <w:color w:val="000000"/>
          <w:sz w:val="18"/>
          <w:szCs w:val="18"/>
        </w:rPr>
        <w:t>及其摘要的议案，《关于</w:t>
      </w:r>
      <w:r>
        <w:rPr>
          <w:rFonts w:ascii="Times New Roman" w:hAnsi="Times New Roman" w:cs="Times New Roman"/>
          <w:color w:val="000000"/>
          <w:sz w:val="18"/>
          <w:szCs w:val="18"/>
        </w:rPr>
        <w:t>〈</w:t>
      </w:r>
      <w:r>
        <w:rPr>
          <w:rFonts w:hint="eastAsia"/>
          <w:color w:val="000000"/>
          <w:sz w:val="18"/>
          <w:szCs w:val="18"/>
        </w:rPr>
        <w:t>广东翔鹭钨业股份有限公司</w:t>
      </w:r>
      <w:r>
        <w:rPr>
          <w:rFonts w:ascii="Times New Roman" w:hAnsi="Times New Roman" w:cs="Times New Roman"/>
          <w:color w:val="000000"/>
          <w:sz w:val="18"/>
          <w:szCs w:val="18"/>
        </w:rPr>
        <w:t xml:space="preserve">2018 </w:t>
      </w:r>
      <w:r>
        <w:rPr>
          <w:rFonts w:hint="eastAsia"/>
          <w:color w:val="000000"/>
          <w:sz w:val="18"/>
          <w:szCs w:val="18"/>
        </w:rPr>
        <w:t>年限制性股票激励计划实施考核管理办法</w:t>
      </w:r>
      <w:r>
        <w:rPr>
          <w:rFonts w:ascii="Times New Roman" w:hAnsi="Times New Roman" w:cs="Times New Roman"/>
          <w:color w:val="000000"/>
          <w:sz w:val="18"/>
          <w:szCs w:val="18"/>
        </w:rPr>
        <w:t>〉</w:t>
      </w:r>
      <w:r>
        <w:rPr>
          <w:rFonts w:hint="eastAsia"/>
          <w:color w:val="000000"/>
          <w:sz w:val="18"/>
          <w:szCs w:val="18"/>
        </w:rPr>
        <w:t>的议案》等议案，本次激励计划拟授予公司董事、高级管理人员及核心骨干（含控股子公司）的限制性股票数量为</w:t>
      </w:r>
      <w:r>
        <w:rPr>
          <w:rFonts w:ascii="Times New Roman" w:hAnsi="Times New Roman" w:cs="Times New Roman"/>
          <w:color w:val="000000"/>
          <w:sz w:val="18"/>
          <w:szCs w:val="18"/>
        </w:rPr>
        <w:t>182.22</w:t>
      </w:r>
      <w:r>
        <w:rPr>
          <w:rFonts w:hint="eastAsia"/>
          <w:color w:val="000000"/>
          <w:sz w:val="18"/>
          <w:szCs w:val="18"/>
        </w:rPr>
        <w:t>万股，其中首次授予</w:t>
      </w:r>
      <w:r>
        <w:rPr>
          <w:rFonts w:ascii="Times New Roman" w:hAnsi="Times New Roman" w:cs="Times New Roman"/>
          <w:color w:val="000000"/>
          <w:sz w:val="18"/>
          <w:szCs w:val="18"/>
        </w:rPr>
        <w:t>164</w:t>
      </w:r>
      <w:r>
        <w:rPr>
          <w:rFonts w:hint="eastAsia"/>
          <w:color w:val="000000"/>
          <w:sz w:val="18"/>
          <w:szCs w:val="18"/>
        </w:rPr>
        <w:t>万股，首次授予对象</w:t>
      </w:r>
      <w:r>
        <w:rPr>
          <w:rFonts w:ascii="Times New Roman" w:hAnsi="Times New Roman" w:cs="Times New Roman"/>
          <w:color w:val="000000"/>
          <w:sz w:val="18"/>
          <w:szCs w:val="18"/>
        </w:rPr>
        <w:t>112</w:t>
      </w:r>
      <w:r>
        <w:rPr>
          <w:rFonts w:hint="eastAsia"/>
          <w:color w:val="000000"/>
          <w:sz w:val="18"/>
          <w:szCs w:val="18"/>
        </w:rPr>
        <w:t>人，预留</w:t>
      </w:r>
      <w:r>
        <w:rPr>
          <w:rFonts w:ascii="Times New Roman" w:hAnsi="Times New Roman" w:cs="Times New Roman"/>
          <w:color w:val="000000"/>
          <w:sz w:val="18"/>
          <w:szCs w:val="18"/>
        </w:rPr>
        <w:t>18.22</w:t>
      </w:r>
      <w:r>
        <w:rPr>
          <w:rFonts w:hint="eastAsia"/>
          <w:color w:val="000000"/>
          <w:sz w:val="18"/>
          <w:szCs w:val="18"/>
        </w:rPr>
        <w:t>万股（详见</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6</w:t>
      </w:r>
      <w:r>
        <w:rPr>
          <w:rFonts w:hint="eastAsia"/>
          <w:color w:val="000000"/>
          <w:sz w:val="18"/>
          <w:szCs w:val="18"/>
        </w:rPr>
        <w:t>日在巨潮资讯网上发布的《第三届董事会第二次会议决议公告》，公告编号：</w:t>
      </w:r>
      <w:r>
        <w:rPr>
          <w:rFonts w:ascii="Times New Roman" w:hAnsi="Times New Roman" w:cs="Times New Roman"/>
          <w:color w:val="000000"/>
          <w:sz w:val="18"/>
          <w:szCs w:val="18"/>
        </w:rPr>
        <w:t>2018-064</w:t>
      </w:r>
      <w:r>
        <w:rPr>
          <w:rFonts w:hint="eastAsia"/>
          <w:color w:val="000000"/>
          <w:sz w:val="18"/>
          <w:szCs w:val="18"/>
        </w:rPr>
        <w:t>）。</w:t>
      </w:r>
      <w:r>
        <w:rPr>
          <w:rFonts w:ascii="Times New Roman" w:hAnsi="Times New Roman" w:cs="Times New Roman"/>
          <w:color w:val="000000"/>
          <w:sz w:val="18"/>
          <w:szCs w:val="18"/>
        </w:rPr>
        <w:t> </w:t>
      </w:r>
    </w:p>
    <w:p w:rsidR="00E22F4C" w:rsidRDefault="00E22F4C">
      <w:pPr>
        <w:pStyle w:val="a4"/>
        <w:spacing w:before="0" w:beforeAutospacing="0" w:after="0" w:afterAutospacing="0"/>
        <w:divId w:val="504974932"/>
        <w:rPr>
          <w:sz w:val="18"/>
          <w:szCs w:val="18"/>
        </w:rPr>
      </w:pPr>
      <w:r>
        <w:rPr>
          <w:rFonts w:ascii="Times New Roman" w:hAnsi="Times New Roman" w:cs="Times New Roman"/>
          <w:color w:val="000000"/>
          <w:sz w:val="18"/>
          <w:szCs w:val="18"/>
        </w:rPr>
        <w:t>2</w:t>
      </w:r>
      <w:r>
        <w:rPr>
          <w:rFonts w:hint="eastAsia"/>
          <w:color w:val="000000"/>
          <w:sz w:val="18"/>
          <w:szCs w:val="18"/>
        </w:rPr>
        <w:t>、</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7</w:t>
      </w:r>
      <w:r>
        <w:rPr>
          <w:rFonts w:hint="eastAsia"/>
          <w:color w:val="000000"/>
          <w:sz w:val="18"/>
          <w:szCs w:val="18"/>
        </w:rPr>
        <w:t>日，公司发布了《更正公告》，对</w:t>
      </w:r>
      <w:r>
        <w:rPr>
          <w:rFonts w:ascii="Times New Roman" w:hAnsi="Times New Roman" w:cs="Times New Roman"/>
          <w:color w:val="000000"/>
          <w:sz w:val="18"/>
          <w:szCs w:val="18"/>
        </w:rPr>
        <w:t>2018</w:t>
      </w:r>
      <w:r>
        <w:rPr>
          <w:rFonts w:hint="eastAsia"/>
          <w:color w:val="000000"/>
          <w:sz w:val="18"/>
          <w:szCs w:val="18"/>
        </w:rPr>
        <w:t>年限制性股票激励计划激励对象名单有关人员姓名的内容进行更正（详见</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7</w:t>
      </w:r>
      <w:r>
        <w:rPr>
          <w:rFonts w:hint="eastAsia"/>
          <w:color w:val="000000"/>
          <w:sz w:val="18"/>
          <w:szCs w:val="18"/>
        </w:rPr>
        <w:t>日在巨潮资讯网上发布的《更正公告》，公告编号：</w:t>
      </w:r>
      <w:r>
        <w:rPr>
          <w:rFonts w:ascii="Times New Roman" w:hAnsi="Times New Roman" w:cs="Times New Roman"/>
          <w:color w:val="000000"/>
          <w:sz w:val="18"/>
          <w:szCs w:val="18"/>
        </w:rPr>
        <w:t>2018-068</w:t>
      </w:r>
      <w:r>
        <w:rPr>
          <w:rFonts w:hint="eastAsia"/>
          <w:color w:val="000000"/>
          <w:sz w:val="18"/>
          <w:szCs w:val="18"/>
        </w:rPr>
        <w:t>）。</w:t>
      </w:r>
    </w:p>
    <w:p w:rsidR="00E22F4C" w:rsidRDefault="00E22F4C">
      <w:pPr>
        <w:pStyle w:val="a4"/>
        <w:spacing w:before="0" w:beforeAutospacing="0" w:after="0" w:afterAutospacing="0"/>
        <w:divId w:val="504974932"/>
        <w:rPr>
          <w:sz w:val="18"/>
          <w:szCs w:val="18"/>
        </w:rPr>
      </w:pPr>
      <w:r>
        <w:rPr>
          <w:rFonts w:ascii="Times New Roman" w:hAnsi="Times New Roman" w:cs="Times New Roman"/>
          <w:color w:val="000000"/>
          <w:sz w:val="18"/>
          <w:szCs w:val="18"/>
        </w:rPr>
        <w:t>3</w:t>
      </w:r>
      <w:r>
        <w:rPr>
          <w:rFonts w:hint="eastAsia"/>
          <w:color w:val="000000"/>
          <w:sz w:val="18"/>
          <w:szCs w:val="18"/>
        </w:rPr>
        <w:t>、</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21</w:t>
      </w:r>
      <w:r>
        <w:rPr>
          <w:rFonts w:hint="eastAsia"/>
          <w:color w:val="000000"/>
          <w:sz w:val="18"/>
          <w:szCs w:val="18"/>
        </w:rPr>
        <w:t>日，公司召开</w:t>
      </w:r>
      <w:r>
        <w:rPr>
          <w:rFonts w:ascii="Times New Roman" w:hAnsi="Times New Roman" w:cs="Times New Roman"/>
          <w:color w:val="000000"/>
          <w:sz w:val="18"/>
          <w:szCs w:val="18"/>
        </w:rPr>
        <w:t>2018</w:t>
      </w:r>
      <w:r>
        <w:rPr>
          <w:rFonts w:hint="eastAsia"/>
          <w:color w:val="000000"/>
          <w:sz w:val="18"/>
          <w:szCs w:val="18"/>
        </w:rPr>
        <w:t>年第四次临时股东大会，审议通过了《关于</w:t>
      </w:r>
      <w:r>
        <w:rPr>
          <w:rFonts w:ascii="Times New Roman" w:hAnsi="Times New Roman" w:cs="Times New Roman"/>
          <w:color w:val="000000"/>
          <w:sz w:val="18"/>
          <w:szCs w:val="18"/>
        </w:rPr>
        <w:t>〈</w:t>
      </w:r>
      <w:r>
        <w:rPr>
          <w:rFonts w:hint="eastAsia"/>
          <w:color w:val="000000"/>
          <w:sz w:val="18"/>
          <w:szCs w:val="18"/>
        </w:rPr>
        <w:t>广东翔鹭钨业股份有限公司</w:t>
      </w:r>
      <w:r>
        <w:rPr>
          <w:rFonts w:ascii="Times New Roman" w:hAnsi="Times New Roman" w:cs="Times New Roman"/>
          <w:color w:val="000000"/>
          <w:sz w:val="18"/>
          <w:szCs w:val="18"/>
        </w:rPr>
        <w:t xml:space="preserve">2018 </w:t>
      </w:r>
      <w:r>
        <w:rPr>
          <w:rFonts w:hint="eastAsia"/>
          <w:color w:val="000000"/>
          <w:sz w:val="18"/>
          <w:szCs w:val="18"/>
        </w:rPr>
        <w:t>年限制性股票激励计划（草案）</w:t>
      </w:r>
      <w:r>
        <w:rPr>
          <w:rFonts w:ascii="Times New Roman" w:hAnsi="Times New Roman" w:cs="Times New Roman"/>
          <w:color w:val="000000"/>
          <w:sz w:val="18"/>
          <w:szCs w:val="18"/>
        </w:rPr>
        <w:t>〉</w:t>
      </w:r>
      <w:r>
        <w:rPr>
          <w:rFonts w:hint="eastAsia"/>
          <w:color w:val="000000"/>
          <w:sz w:val="18"/>
          <w:szCs w:val="18"/>
        </w:rPr>
        <w:t>及其摘要的议案》，《关于</w:t>
      </w:r>
      <w:r>
        <w:rPr>
          <w:rFonts w:ascii="Times New Roman" w:hAnsi="Times New Roman" w:cs="Times New Roman"/>
          <w:color w:val="000000"/>
          <w:sz w:val="18"/>
          <w:szCs w:val="18"/>
        </w:rPr>
        <w:t>〈</w:t>
      </w:r>
      <w:r>
        <w:rPr>
          <w:rFonts w:hint="eastAsia"/>
          <w:color w:val="000000"/>
          <w:sz w:val="18"/>
          <w:szCs w:val="18"/>
        </w:rPr>
        <w:t>广东翔鹭钨业股份有限公司</w:t>
      </w:r>
      <w:r>
        <w:rPr>
          <w:rFonts w:ascii="Times New Roman" w:hAnsi="Times New Roman" w:cs="Times New Roman"/>
          <w:color w:val="000000"/>
          <w:sz w:val="18"/>
          <w:szCs w:val="18"/>
        </w:rPr>
        <w:t xml:space="preserve">2018 </w:t>
      </w:r>
      <w:r>
        <w:rPr>
          <w:rFonts w:hint="eastAsia"/>
          <w:color w:val="000000"/>
          <w:sz w:val="18"/>
          <w:szCs w:val="18"/>
        </w:rPr>
        <w:t>年限制性股票激励计划实施考核管理办法</w:t>
      </w:r>
      <w:r>
        <w:rPr>
          <w:rFonts w:ascii="Times New Roman" w:hAnsi="Times New Roman" w:cs="Times New Roman"/>
          <w:color w:val="000000"/>
          <w:sz w:val="18"/>
          <w:szCs w:val="18"/>
        </w:rPr>
        <w:t>〉</w:t>
      </w:r>
      <w:r>
        <w:rPr>
          <w:rFonts w:hint="eastAsia"/>
          <w:color w:val="000000"/>
          <w:sz w:val="18"/>
          <w:szCs w:val="18"/>
        </w:rPr>
        <w:t>的议案》等议案（详见</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22</w:t>
      </w:r>
      <w:r>
        <w:rPr>
          <w:rFonts w:hint="eastAsia"/>
          <w:color w:val="000000"/>
          <w:sz w:val="18"/>
          <w:szCs w:val="18"/>
        </w:rPr>
        <w:t>日在巨潮资讯网上发布的《</w:t>
      </w:r>
      <w:r>
        <w:rPr>
          <w:rFonts w:ascii="Times New Roman" w:hAnsi="Times New Roman" w:cs="Times New Roman"/>
          <w:color w:val="000000"/>
          <w:sz w:val="18"/>
          <w:szCs w:val="18"/>
        </w:rPr>
        <w:t>2018</w:t>
      </w:r>
      <w:r>
        <w:rPr>
          <w:rFonts w:hint="eastAsia"/>
          <w:color w:val="000000"/>
          <w:sz w:val="18"/>
          <w:szCs w:val="18"/>
        </w:rPr>
        <w:t>年第四次临时股东大会决议公告》，公告编号：</w:t>
      </w:r>
      <w:r>
        <w:rPr>
          <w:rFonts w:ascii="Times New Roman" w:hAnsi="Times New Roman" w:cs="Times New Roman"/>
          <w:color w:val="000000"/>
          <w:sz w:val="18"/>
          <w:szCs w:val="18"/>
        </w:rPr>
        <w:t>2018-073</w:t>
      </w:r>
      <w:r>
        <w:rPr>
          <w:rFonts w:hint="eastAsia"/>
          <w:color w:val="000000"/>
          <w:sz w:val="18"/>
          <w:szCs w:val="18"/>
        </w:rPr>
        <w:t>）。</w:t>
      </w:r>
      <w:r>
        <w:rPr>
          <w:rFonts w:ascii="Times New Roman" w:hAnsi="Times New Roman" w:cs="Times New Roman"/>
          <w:color w:val="000000"/>
          <w:sz w:val="18"/>
          <w:szCs w:val="18"/>
        </w:rPr>
        <w:t> </w:t>
      </w:r>
    </w:p>
    <w:p w:rsidR="00E22F4C" w:rsidRDefault="00E22F4C">
      <w:pPr>
        <w:pStyle w:val="a4"/>
        <w:spacing w:before="0" w:beforeAutospacing="0" w:after="0" w:afterAutospacing="0"/>
        <w:divId w:val="504974932"/>
        <w:rPr>
          <w:sz w:val="18"/>
          <w:szCs w:val="18"/>
        </w:rPr>
      </w:pPr>
      <w:r>
        <w:rPr>
          <w:rFonts w:ascii="Times New Roman" w:hAnsi="Times New Roman" w:cs="Times New Roman"/>
          <w:color w:val="000000"/>
          <w:sz w:val="18"/>
          <w:szCs w:val="18"/>
        </w:rPr>
        <w:t>4</w:t>
      </w:r>
      <w:r>
        <w:rPr>
          <w:rFonts w:hint="eastAsia"/>
          <w:color w:val="000000"/>
          <w:sz w:val="18"/>
          <w:szCs w:val="18"/>
        </w:rPr>
        <w:t>、</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21</w:t>
      </w:r>
      <w:r>
        <w:rPr>
          <w:rFonts w:hint="eastAsia"/>
          <w:color w:val="000000"/>
          <w:sz w:val="18"/>
          <w:szCs w:val="18"/>
        </w:rPr>
        <w:t>日，公司召开第三届董事会</w:t>
      </w:r>
      <w:r>
        <w:rPr>
          <w:rFonts w:ascii="Times New Roman" w:hAnsi="Times New Roman" w:cs="Times New Roman"/>
          <w:color w:val="000000"/>
          <w:sz w:val="18"/>
          <w:szCs w:val="18"/>
        </w:rPr>
        <w:t>2018</w:t>
      </w:r>
      <w:r>
        <w:rPr>
          <w:rFonts w:hint="eastAsia"/>
          <w:color w:val="000000"/>
          <w:sz w:val="18"/>
          <w:szCs w:val="18"/>
        </w:rPr>
        <w:t>年第四次临时会议，审议通过了《关于调整公司</w:t>
      </w:r>
      <w:r>
        <w:rPr>
          <w:rFonts w:ascii="Times New Roman" w:hAnsi="Times New Roman" w:cs="Times New Roman"/>
          <w:color w:val="000000"/>
          <w:sz w:val="18"/>
          <w:szCs w:val="18"/>
        </w:rPr>
        <w:t>2018</w:t>
      </w:r>
      <w:r>
        <w:rPr>
          <w:rFonts w:hint="eastAsia"/>
          <w:color w:val="000000"/>
          <w:sz w:val="18"/>
          <w:szCs w:val="18"/>
        </w:rPr>
        <w:t>年限制性股票激励计划相关事项的议案》，调整后本次激励计划拟首次授予的激励对象调减为</w:t>
      </w:r>
      <w:r>
        <w:rPr>
          <w:rFonts w:ascii="Times New Roman" w:hAnsi="Times New Roman" w:cs="Times New Roman"/>
          <w:color w:val="000000"/>
          <w:sz w:val="18"/>
          <w:szCs w:val="18"/>
        </w:rPr>
        <w:t>105</w:t>
      </w:r>
      <w:r>
        <w:rPr>
          <w:rFonts w:hint="eastAsia"/>
          <w:color w:val="000000"/>
          <w:sz w:val="18"/>
          <w:szCs w:val="18"/>
        </w:rPr>
        <w:t>人，拟首次授予的限制性股票总数调减为</w:t>
      </w:r>
      <w:r>
        <w:rPr>
          <w:rFonts w:ascii="Times New Roman" w:hAnsi="Times New Roman" w:cs="Times New Roman"/>
          <w:color w:val="000000"/>
          <w:sz w:val="18"/>
          <w:szCs w:val="18"/>
        </w:rPr>
        <w:t>180.82</w:t>
      </w:r>
      <w:r>
        <w:rPr>
          <w:rFonts w:hint="eastAsia"/>
          <w:color w:val="000000"/>
          <w:sz w:val="18"/>
          <w:szCs w:val="18"/>
        </w:rPr>
        <w:t>万股；审议通过了《关于向公司</w:t>
      </w:r>
      <w:r>
        <w:rPr>
          <w:rFonts w:ascii="Times New Roman" w:hAnsi="Times New Roman" w:cs="Times New Roman"/>
          <w:color w:val="000000"/>
          <w:sz w:val="18"/>
          <w:szCs w:val="18"/>
        </w:rPr>
        <w:t>2018</w:t>
      </w:r>
      <w:r>
        <w:rPr>
          <w:rFonts w:hint="eastAsia"/>
          <w:color w:val="000000"/>
          <w:sz w:val="18"/>
          <w:szCs w:val="18"/>
        </w:rPr>
        <w:t>年限制性股票激励计划激励对象授予限制性股票相关事项的议案》，确定以</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21</w:t>
      </w:r>
      <w:r>
        <w:rPr>
          <w:rFonts w:hint="eastAsia"/>
          <w:color w:val="000000"/>
          <w:sz w:val="18"/>
          <w:szCs w:val="18"/>
        </w:rPr>
        <w:t>日为首次授予日，向符合授予条件的</w:t>
      </w:r>
      <w:r>
        <w:rPr>
          <w:rFonts w:ascii="Times New Roman" w:hAnsi="Times New Roman" w:cs="Times New Roman"/>
          <w:color w:val="000000"/>
          <w:sz w:val="18"/>
          <w:szCs w:val="18"/>
        </w:rPr>
        <w:t>105</w:t>
      </w:r>
      <w:r>
        <w:rPr>
          <w:rFonts w:hint="eastAsia"/>
          <w:color w:val="000000"/>
          <w:sz w:val="18"/>
          <w:szCs w:val="18"/>
        </w:rPr>
        <w:t>名激励对象授予</w:t>
      </w:r>
      <w:r>
        <w:rPr>
          <w:rFonts w:ascii="Times New Roman" w:hAnsi="Times New Roman" w:cs="Times New Roman"/>
          <w:color w:val="000000"/>
          <w:sz w:val="18"/>
          <w:szCs w:val="18"/>
        </w:rPr>
        <w:t>162.6</w:t>
      </w:r>
      <w:r>
        <w:rPr>
          <w:rFonts w:hint="eastAsia"/>
          <w:color w:val="000000"/>
          <w:sz w:val="18"/>
          <w:szCs w:val="18"/>
        </w:rPr>
        <w:t>万股限制性股票（详见</w:t>
      </w:r>
      <w:r>
        <w:rPr>
          <w:rFonts w:ascii="Times New Roman" w:hAnsi="Times New Roman" w:cs="Times New Roman"/>
          <w:color w:val="000000"/>
          <w:sz w:val="18"/>
          <w:szCs w:val="18"/>
        </w:rPr>
        <w:t>2018</w:t>
      </w:r>
      <w:r>
        <w:rPr>
          <w:rFonts w:hint="eastAsia"/>
          <w:color w:val="000000"/>
          <w:sz w:val="18"/>
          <w:szCs w:val="18"/>
        </w:rPr>
        <w:t>年</w:t>
      </w:r>
      <w:r>
        <w:rPr>
          <w:rFonts w:ascii="Times New Roman" w:hAnsi="Times New Roman" w:cs="Times New Roman"/>
          <w:color w:val="000000"/>
          <w:sz w:val="18"/>
          <w:szCs w:val="18"/>
        </w:rPr>
        <w:t>12</w:t>
      </w:r>
      <w:r>
        <w:rPr>
          <w:rFonts w:hint="eastAsia"/>
          <w:color w:val="000000"/>
          <w:sz w:val="18"/>
          <w:szCs w:val="18"/>
        </w:rPr>
        <w:t>月</w:t>
      </w:r>
      <w:r>
        <w:rPr>
          <w:rFonts w:ascii="Times New Roman" w:hAnsi="Times New Roman" w:cs="Times New Roman"/>
          <w:color w:val="000000"/>
          <w:sz w:val="18"/>
          <w:szCs w:val="18"/>
        </w:rPr>
        <w:t>24</w:t>
      </w:r>
      <w:r>
        <w:rPr>
          <w:rFonts w:hint="eastAsia"/>
          <w:color w:val="000000"/>
          <w:sz w:val="18"/>
          <w:szCs w:val="18"/>
        </w:rPr>
        <w:t>日在巨潮资讯网上发布的《第三届董事会</w:t>
      </w:r>
      <w:r>
        <w:rPr>
          <w:rFonts w:ascii="Times New Roman" w:hAnsi="Times New Roman" w:cs="Times New Roman"/>
          <w:color w:val="000000"/>
          <w:sz w:val="18"/>
          <w:szCs w:val="18"/>
        </w:rPr>
        <w:t>2018</w:t>
      </w:r>
      <w:r>
        <w:rPr>
          <w:rFonts w:hint="eastAsia"/>
          <w:color w:val="000000"/>
          <w:sz w:val="18"/>
          <w:szCs w:val="18"/>
        </w:rPr>
        <w:t>年第四次临时会议决议公告》，公告编号：</w:t>
      </w:r>
      <w:r>
        <w:rPr>
          <w:rFonts w:ascii="Times New Roman" w:hAnsi="Times New Roman" w:cs="Times New Roman"/>
          <w:color w:val="000000"/>
          <w:sz w:val="18"/>
          <w:szCs w:val="18"/>
        </w:rPr>
        <w:t>2018-075</w:t>
      </w:r>
      <w:r>
        <w:rPr>
          <w:rFonts w:hint="eastAsia"/>
          <w:color w:val="000000"/>
          <w:sz w:val="18"/>
          <w:szCs w:val="18"/>
        </w:rPr>
        <w:t>）。</w:t>
      </w:r>
      <w:r>
        <w:rPr>
          <w:rFonts w:ascii="Times New Roman" w:hAnsi="Times New Roman" w:cs="Times New Roman"/>
          <w:color w:val="000000"/>
          <w:sz w:val="18"/>
          <w:szCs w:val="18"/>
        </w:rPr>
        <w:t> </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t>5</w:t>
      </w:r>
      <w:r>
        <w:rPr>
          <w:rFonts w:hint="eastAsia"/>
          <w:color w:val="000000"/>
          <w:sz w:val="18"/>
          <w:szCs w:val="18"/>
        </w:rPr>
        <w:t>、</w:t>
      </w:r>
      <w:r>
        <w:rPr>
          <w:rFonts w:ascii="Times New Roman" w:hAnsi="Times New Roman" w:cs="Times New Roman"/>
          <w:color w:val="000000"/>
          <w:sz w:val="18"/>
          <w:szCs w:val="18"/>
        </w:rPr>
        <w:t>2019</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13</w:t>
      </w:r>
      <w:r>
        <w:rPr>
          <w:rFonts w:hint="eastAsia"/>
          <w:color w:val="000000"/>
          <w:sz w:val="18"/>
          <w:szCs w:val="18"/>
        </w:rPr>
        <w:t>日，经向深交所和中国结算深圳分公司申请并通过，公司完成</w:t>
      </w:r>
      <w:r>
        <w:rPr>
          <w:rFonts w:ascii="Times New Roman" w:hAnsi="Times New Roman" w:cs="Times New Roman"/>
          <w:color w:val="000000"/>
          <w:sz w:val="18"/>
          <w:szCs w:val="18"/>
        </w:rPr>
        <w:t>2018</w:t>
      </w:r>
      <w:r>
        <w:rPr>
          <w:rFonts w:hint="eastAsia"/>
          <w:color w:val="000000"/>
          <w:sz w:val="18"/>
          <w:szCs w:val="18"/>
        </w:rPr>
        <w:t>年限制性股票激励计划首次授予登记工作，最终实际向</w:t>
      </w:r>
      <w:r>
        <w:rPr>
          <w:rFonts w:ascii="Times New Roman" w:hAnsi="Times New Roman" w:cs="Times New Roman"/>
          <w:color w:val="000000"/>
          <w:sz w:val="18"/>
          <w:szCs w:val="18"/>
        </w:rPr>
        <w:t>105</w:t>
      </w:r>
      <w:r>
        <w:rPr>
          <w:rFonts w:hint="eastAsia"/>
          <w:color w:val="000000"/>
          <w:sz w:val="18"/>
          <w:szCs w:val="18"/>
        </w:rPr>
        <w:t>名激励对象合计授予</w:t>
      </w:r>
      <w:r>
        <w:rPr>
          <w:rFonts w:ascii="Times New Roman" w:hAnsi="Times New Roman" w:cs="Times New Roman"/>
          <w:color w:val="000000"/>
          <w:sz w:val="18"/>
          <w:szCs w:val="18"/>
        </w:rPr>
        <w:t>162.6</w:t>
      </w:r>
      <w:r>
        <w:rPr>
          <w:rFonts w:hint="eastAsia"/>
          <w:color w:val="000000"/>
          <w:sz w:val="18"/>
          <w:szCs w:val="18"/>
        </w:rPr>
        <w:t>万股限制性股票，此次限制性股票的上市时间是</w:t>
      </w:r>
      <w:r>
        <w:rPr>
          <w:rFonts w:ascii="Times New Roman" w:hAnsi="Times New Roman" w:cs="Times New Roman"/>
          <w:color w:val="000000"/>
          <w:sz w:val="18"/>
          <w:szCs w:val="18"/>
        </w:rPr>
        <w:t>2019</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15</w:t>
      </w:r>
      <w:r>
        <w:rPr>
          <w:rFonts w:hint="eastAsia"/>
          <w:color w:val="000000"/>
          <w:sz w:val="18"/>
          <w:szCs w:val="18"/>
        </w:rPr>
        <w:t>日（详见</w:t>
      </w:r>
      <w:r>
        <w:rPr>
          <w:rFonts w:ascii="Times New Roman" w:hAnsi="Times New Roman" w:cs="Times New Roman"/>
          <w:color w:val="000000"/>
          <w:sz w:val="18"/>
          <w:szCs w:val="18"/>
        </w:rPr>
        <w:t xml:space="preserve">2019 </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14</w:t>
      </w:r>
      <w:r>
        <w:rPr>
          <w:rFonts w:hint="eastAsia"/>
          <w:color w:val="000000"/>
          <w:sz w:val="18"/>
          <w:szCs w:val="18"/>
        </w:rPr>
        <w:t>日在巨潮资讯网上发布的《关于</w:t>
      </w:r>
      <w:r>
        <w:rPr>
          <w:rFonts w:ascii="Times New Roman" w:hAnsi="Times New Roman" w:cs="Times New Roman"/>
          <w:color w:val="000000"/>
          <w:sz w:val="18"/>
          <w:szCs w:val="18"/>
        </w:rPr>
        <w:t>2018</w:t>
      </w:r>
      <w:r>
        <w:rPr>
          <w:rFonts w:hint="eastAsia"/>
          <w:color w:val="000000"/>
          <w:sz w:val="18"/>
          <w:szCs w:val="18"/>
        </w:rPr>
        <w:t>年限制性股票激励计划首次授予完成的公告》，公告编号：</w:t>
      </w:r>
      <w:r>
        <w:rPr>
          <w:rFonts w:ascii="Times New Roman" w:hAnsi="Times New Roman" w:cs="Times New Roman"/>
          <w:color w:val="000000"/>
          <w:sz w:val="18"/>
          <w:szCs w:val="18"/>
        </w:rPr>
        <w:t>2019-005</w:t>
      </w:r>
      <w:r>
        <w:rPr>
          <w:rFonts w:hint="eastAsia"/>
          <w:color w:val="000000"/>
          <w:sz w:val="18"/>
          <w:szCs w:val="18"/>
        </w:rPr>
        <w:t>）。</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t>6</w:t>
      </w:r>
      <w:r>
        <w:rPr>
          <w:rFonts w:hint="eastAsia"/>
          <w:color w:val="000000"/>
          <w:sz w:val="18"/>
          <w:szCs w:val="18"/>
        </w:rPr>
        <w:t>、</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13</w:t>
      </w:r>
      <w:r>
        <w:rPr>
          <w:rFonts w:hint="eastAsia"/>
          <w:color w:val="000000"/>
          <w:sz w:val="18"/>
          <w:szCs w:val="18"/>
        </w:rPr>
        <w:t>日，公司召开第三届董事会</w:t>
      </w:r>
      <w:r>
        <w:rPr>
          <w:rFonts w:ascii="Times New Roman" w:hAnsi="Times New Roman" w:cs="Times New Roman"/>
          <w:color w:val="000000"/>
          <w:sz w:val="18"/>
          <w:szCs w:val="18"/>
        </w:rPr>
        <w:t>2020</w:t>
      </w:r>
      <w:r>
        <w:rPr>
          <w:rFonts w:hint="eastAsia"/>
          <w:color w:val="000000"/>
          <w:sz w:val="18"/>
          <w:szCs w:val="18"/>
        </w:rPr>
        <w:t>年第一次临时会议和第三届监事会第十四次会议，审议通过了《关于调整</w:t>
      </w:r>
      <w:r>
        <w:rPr>
          <w:rFonts w:ascii="Times New Roman" w:hAnsi="Times New Roman" w:cs="Times New Roman"/>
          <w:color w:val="000000"/>
          <w:sz w:val="18"/>
          <w:szCs w:val="18"/>
        </w:rPr>
        <w:t>2018</w:t>
      </w:r>
      <w:r>
        <w:rPr>
          <w:rFonts w:hint="eastAsia"/>
          <w:color w:val="000000"/>
          <w:sz w:val="18"/>
          <w:szCs w:val="18"/>
        </w:rPr>
        <w:t>年限制性股票激励计划限制性股票回购数量和回购价格及回购注销部分激励对象已获授但尚未解除限售的限制性股票的议案》，鉴于</w:t>
      </w:r>
      <w:r>
        <w:rPr>
          <w:rFonts w:ascii="Times New Roman" w:hAnsi="Times New Roman" w:cs="Times New Roman"/>
          <w:color w:val="000000"/>
          <w:sz w:val="18"/>
          <w:szCs w:val="18"/>
        </w:rPr>
        <w:t>8</w:t>
      </w:r>
      <w:r>
        <w:rPr>
          <w:rFonts w:hint="eastAsia"/>
          <w:color w:val="000000"/>
          <w:sz w:val="18"/>
          <w:szCs w:val="18"/>
        </w:rPr>
        <w:t>名激励对象因个人原因离职，公司董事会拟对其已获授但尚未解除限售的</w:t>
      </w:r>
      <w:r>
        <w:rPr>
          <w:rFonts w:ascii="Times New Roman" w:hAnsi="Times New Roman" w:cs="Times New Roman"/>
          <w:color w:val="000000"/>
          <w:sz w:val="18"/>
          <w:szCs w:val="18"/>
        </w:rPr>
        <w:t>73,500</w:t>
      </w:r>
      <w:r>
        <w:rPr>
          <w:rFonts w:hint="eastAsia"/>
          <w:color w:val="000000"/>
          <w:sz w:val="18"/>
          <w:szCs w:val="18"/>
        </w:rPr>
        <w:t>股限制性股票进行回购注销，同时，由于</w:t>
      </w:r>
      <w:r>
        <w:rPr>
          <w:rFonts w:ascii="Times New Roman" w:hAnsi="Times New Roman" w:cs="Times New Roman"/>
          <w:color w:val="000000"/>
          <w:sz w:val="18"/>
          <w:szCs w:val="18"/>
        </w:rPr>
        <w:t>2019</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24</w:t>
      </w:r>
      <w:r>
        <w:rPr>
          <w:rFonts w:hint="eastAsia"/>
          <w:color w:val="000000"/>
          <w:sz w:val="18"/>
          <w:szCs w:val="18"/>
        </w:rPr>
        <w:t>日召开的</w:t>
      </w:r>
      <w:r>
        <w:rPr>
          <w:rFonts w:ascii="Times New Roman" w:hAnsi="Times New Roman" w:cs="Times New Roman"/>
          <w:color w:val="000000"/>
          <w:sz w:val="18"/>
          <w:szCs w:val="18"/>
        </w:rPr>
        <w:t>2018</w:t>
      </w:r>
      <w:r>
        <w:rPr>
          <w:rFonts w:hint="eastAsia"/>
          <w:color w:val="000000"/>
          <w:sz w:val="18"/>
          <w:szCs w:val="18"/>
        </w:rPr>
        <w:t>年度股东大会审议通过了《关于公司</w:t>
      </w:r>
      <w:r>
        <w:rPr>
          <w:rFonts w:ascii="Times New Roman" w:hAnsi="Times New Roman" w:cs="Times New Roman"/>
          <w:color w:val="000000"/>
          <w:sz w:val="18"/>
          <w:szCs w:val="18"/>
        </w:rPr>
        <w:t>2018</w:t>
      </w:r>
      <w:r>
        <w:rPr>
          <w:rFonts w:hint="eastAsia"/>
          <w:color w:val="000000"/>
          <w:sz w:val="18"/>
          <w:szCs w:val="18"/>
        </w:rPr>
        <w:t>年度利润分配预案的议案》，根据《激励计划》的相关规定，拟对</w:t>
      </w:r>
      <w:r>
        <w:rPr>
          <w:rFonts w:ascii="Times New Roman" w:hAnsi="Times New Roman" w:cs="Times New Roman"/>
          <w:color w:val="000000"/>
          <w:sz w:val="18"/>
          <w:szCs w:val="18"/>
        </w:rPr>
        <w:t>2018</w:t>
      </w:r>
      <w:r>
        <w:rPr>
          <w:rFonts w:hint="eastAsia"/>
          <w:color w:val="000000"/>
          <w:sz w:val="18"/>
          <w:szCs w:val="18"/>
        </w:rPr>
        <w:t>年限制性股票激励计划限制性股票回购价格及回购数量进行调整，其中回购数量由</w:t>
      </w:r>
      <w:r>
        <w:rPr>
          <w:rFonts w:ascii="Times New Roman" w:hAnsi="Times New Roman" w:cs="Times New Roman"/>
          <w:color w:val="000000"/>
          <w:sz w:val="18"/>
          <w:szCs w:val="18"/>
        </w:rPr>
        <w:t>73,500</w:t>
      </w:r>
      <w:r>
        <w:rPr>
          <w:rFonts w:hint="eastAsia"/>
          <w:color w:val="000000"/>
          <w:sz w:val="18"/>
          <w:szCs w:val="18"/>
        </w:rPr>
        <w:t>股调整为</w:t>
      </w:r>
      <w:r>
        <w:rPr>
          <w:rFonts w:ascii="Times New Roman" w:hAnsi="Times New Roman" w:cs="Times New Roman"/>
          <w:color w:val="000000"/>
          <w:sz w:val="18"/>
          <w:szCs w:val="18"/>
        </w:rPr>
        <w:t>117,600</w:t>
      </w:r>
      <w:r>
        <w:rPr>
          <w:rFonts w:hint="eastAsia"/>
          <w:color w:val="000000"/>
          <w:sz w:val="18"/>
          <w:szCs w:val="18"/>
        </w:rPr>
        <w:t>股，回购价格由</w:t>
      </w:r>
      <w:r>
        <w:rPr>
          <w:rFonts w:ascii="Times New Roman" w:hAnsi="Times New Roman" w:cs="Times New Roman"/>
          <w:color w:val="000000"/>
          <w:sz w:val="18"/>
          <w:szCs w:val="18"/>
        </w:rPr>
        <w:t>9.23</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股调整为</w:t>
      </w:r>
      <w:r>
        <w:rPr>
          <w:rFonts w:ascii="Times New Roman" w:hAnsi="Times New Roman" w:cs="Times New Roman"/>
          <w:color w:val="000000"/>
          <w:sz w:val="18"/>
          <w:szCs w:val="18"/>
        </w:rPr>
        <w:t>5.71</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股。（详见</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14</w:t>
      </w:r>
      <w:r>
        <w:rPr>
          <w:rFonts w:hint="eastAsia"/>
          <w:color w:val="000000"/>
          <w:sz w:val="18"/>
          <w:szCs w:val="18"/>
        </w:rPr>
        <w:t>日在巨潮资讯网上发布的《关于调整</w:t>
      </w:r>
      <w:r>
        <w:rPr>
          <w:rFonts w:ascii="Times New Roman" w:hAnsi="Times New Roman" w:cs="Times New Roman"/>
          <w:color w:val="000000"/>
          <w:sz w:val="18"/>
          <w:szCs w:val="18"/>
        </w:rPr>
        <w:t>2018</w:t>
      </w:r>
      <w:r>
        <w:rPr>
          <w:rFonts w:hint="eastAsia"/>
          <w:color w:val="000000"/>
          <w:sz w:val="18"/>
          <w:szCs w:val="18"/>
        </w:rPr>
        <w:t>年限制性股票激励计划限制性股票回购数量和回购价格及回购注销部分激励对象已获授但尚未解除限售的限制性股票的公告》，公告编号：</w:t>
      </w:r>
      <w:r>
        <w:rPr>
          <w:rFonts w:ascii="Times New Roman" w:hAnsi="Times New Roman" w:cs="Times New Roman"/>
          <w:color w:val="000000"/>
          <w:sz w:val="18"/>
          <w:szCs w:val="18"/>
        </w:rPr>
        <w:t>2020-005</w:t>
      </w:r>
      <w:r>
        <w:rPr>
          <w:rFonts w:hint="eastAsia"/>
          <w:color w:val="000000"/>
          <w:sz w:val="18"/>
          <w:szCs w:val="18"/>
        </w:rPr>
        <w:t>）。</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t>7</w:t>
      </w:r>
      <w:r>
        <w:rPr>
          <w:rFonts w:hint="eastAsia"/>
          <w:color w:val="000000"/>
          <w:sz w:val="18"/>
          <w:szCs w:val="18"/>
        </w:rPr>
        <w:t>、</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13</w:t>
      </w:r>
      <w:r>
        <w:rPr>
          <w:rFonts w:hint="eastAsia"/>
          <w:color w:val="000000"/>
          <w:sz w:val="18"/>
          <w:szCs w:val="18"/>
        </w:rPr>
        <w:t>日，公司召开第三届董事会</w:t>
      </w:r>
      <w:r>
        <w:rPr>
          <w:rFonts w:ascii="Times New Roman" w:hAnsi="Times New Roman" w:cs="Times New Roman"/>
          <w:color w:val="000000"/>
          <w:sz w:val="18"/>
          <w:szCs w:val="18"/>
        </w:rPr>
        <w:t>2020</w:t>
      </w:r>
      <w:r>
        <w:rPr>
          <w:rFonts w:hint="eastAsia"/>
          <w:color w:val="000000"/>
          <w:sz w:val="18"/>
          <w:szCs w:val="18"/>
        </w:rPr>
        <w:t>年第一次临时会议和第三届监事会第十四次会议，审议通过了《关于公司</w:t>
      </w:r>
      <w:r>
        <w:rPr>
          <w:rFonts w:ascii="Times New Roman" w:hAnsi="Times New Roman" w:cs="Times New Roman"/>
          <w:color w:val="000000"/>
          <w:sz w:val="18"/>
          <w:szCs w:val="18"/>
        </w:rPr>
        <w:t>2018</w:t>
      </w:r>
      <w:r>
        <w:rPr>
          <w:rFonts w:hint="eastAsia"/>
          <w:color w:val="000000"/>
          <w:sz w:val="18"/>
          <w:szCs w:val="18"/>
        </w:rPr>
        <w:t>年限制性股票激励计划首次授予部分第一个限售期解除限售条件成就的议案》，董事会及监事会均认为本次激励计划设定的限制性股票第一个限售期解除限售条件已经成就，独立董事、律师对相关事项发表专项意见，同意按照公司第一期限制性股票激励计划相关规定对符合解锁条件的</w:t>
      </w:r>
      <w:r>
        <w:rPr>
          <w:rFonts w:ascii="Times New Roman" w:hAnsi="Times New Roman" w:cs="Times New Roman"/>
          <w:color w:val="000000"/>
          <w:sz w:val="18"/>
          <w:szCs w:val="18"/>
        </w:rPr>
        <w:t>97</w:t>
      </w:r>
      <w:r>
        <w:rPr>
          <w:rFonts w:hint="eastAsia"/>
          <w:color w:val="000000"/>
          <w:sz w:val="18"/>
          <w:szCs w:val="18"/>
        </w:rPr>
        <w:t>名激励对象办理解锁相关事宜。（详见</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14</w:t>
      </w:r>
      <w:r>
        <w:rPr>
          <w:rFonts w:hint="eastAsia"/>
          <w:color w:val="000000"/>
          <w:sz w:val="18"/>
          <w:szCs w:val="18"/>
        </w:rPr>
        <w:t>日在巨潮资讯网上发布的《关于公司</w:t>
      </w:r>
      <w:r>
        <w:rPr>
          <w:rFonts w:ascii="Times New Roman" w:hAnsi="Times New Roman" w:cs="Times New Roman"/>
          <w:color w:val="000000"/>
          <w:sz w:val="18"/>
          <w:szCs w:val="18"/>
        </w:rPr>
        <w:t>2018</w:t>
      </w:r>
      <w:r>
        <w:rPr>
          <w:rFonts w:hint="eastAsia"/>
          <w:color w:val="000000"/>
          <w:sz w:val="18"/>
          <w:szCs w:val="18"/>
        </w:rPr>
        <w:t>年限制性股票激励计划首次授予的部分限制性股票第一个限售期解除限售条件成就的公告》，公告编号：</w:t>
      </w:r>
      <w:r>
        <w:rPr>
          <w:rFonts w:ascii="Times New Roman" w:hAnsi="Times New Roman" w:cs="Times New Roman"/>
          <w:color w:val="000000"/>
          <w:sz w:val="18"/>
          <w:szCs w:val="18"/>
        </w:rPr>
        <w:t>2020-006</w:t>
      </w:r>
      <w:r>
        <w:rPr>
          <w:rFonts w:hint="eastAsia"/>
          <w:color w:val="000000"/>
          <w:sz w:val="18"/>
          <w:szCs w:val="18"/>
        </w:rPr>
        <w:t>）。</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t>8</w:t>
      </w:r>
      <w:r>
        <w:rPr>
          <w:rFonts w:hint="eastAsia"/>
          <w:color w:val="000000"/>
          <w:sz w:val="18"/>
          <w:szCs w:val="18"/>
        </w:rPr>
        <w:t>、</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18</w:t>
      </w:r>
      <w:r>
        <w:rPr>
          <w:rFonts w:hint="eastAsia"/>
          <w:color w:val="000000"/>
          <w:sz w:val="18"/>
          <w:szCs w:val="18"/>
        </w:rPr>
        <w:t>日，公司披露了《关于</w:t>
      </w:r>
      <w:r>
        <w:rPr>
          <w:rFonts w:ascii="Times New Roman" w:hAnsi="Times New Roman" w:cs="Times New Roman"/>
          <w:color w:val="000000"/>
          <w:sz w:val="18"/>
          <w:szCs w:val="18"/>
        </w:rPr>
        <w:t>2018</w:t>
      </w:r>
      <w:r>
        <w:rPr>
          <w:rFonts w:hint="eastAsia"/>
          <w:color w:val="000000"/>
          <w:sz w:val="18"/>
          <w:szCs w:val="18"/>
        </w:rPr>
        <w:t>年限制性股票激励计划第一个解锁期的限制性股票上市流通的提示性公告》（公告编号：</w:t>
      </w:r>
      <w:r>
        <w:rPr>
          <w:rFonts w:ascii="Times New Roman" w:hAnsi="Times New Roman" w:cs="Times New Roman"/>
          <w:color w:val="000000"/>
          <w:sz w:val="18"/>
          <w:szCs w:val="18"/>
        </w:rPr>
        <w:t>2020-010</w:t>
      </w:r>
      <w:r>
        <w:rPr>
          <w:rFonts w:hint="eastAsia"/>
          <w:color w:val="000000"/>
          <w:sz w:val="18"/>
          <w:szCs w:val="18"/>
        </w:rPr>
        <w:t>），公司</w:t>
      </w:r>
      <w:r>
        <w:rPr>
          <w:rFonts w:ascii="Times New Roman" w:hAnsi="Times New Roman" w:cs="Times New Roman"/>
          <w:color w:val="000000"/>
          <w:sz w:val="18"/>
          <w:szCs w:val="18"/>
        </w:rPr>
        <w:t>2018</w:t>
      </w:r>
      <w:r>
        <w:rPr>
          <w:rFonts w:hint="eastAsia"/>
          <w:color w:val="000000"/>
          <w:sz w:val="18"/>
          <w:szCs w:val="18"/>
        </w:rPr>
        <w:t>年限制性股票激励计划第一个解锁期解锁条件已成就，解锁人数为</w:t>
      </w:r>
      <w:r>
        <w:rPr>
          <w:rFonts w:ascii="Times New Roman" w:hAnsi="Times New Roman" w:cs="Times New Roman"/>
          <w:color w:val="000000"/>
          <w:sz w:val="18"/>
          <w:szCs w:val="18"/>
        </w:rPr>
        <w:t>97</w:t>
      </w:r>
      <w:r>
        <w:rPr>
          <w:rFonts w:hint="eastAsia"/>
          <w:color w:val="000000"/>
          <w:sz w:val="18"/>
          <w:szCs w:val="18"/>
        </w:rPr>
        <w:t>人，可解锁的限制性股票数量为</w:t>
      </w:r>
      <w:r>
        <w:rPr>
          <w:rFonts w:ascii="Times New Roman" w:hAnsi="Times New Roman" w:cs="Times New Roman"/>
          <w:color w:val="000000"/>
          <w:sz w:val="18"/>
          <w:szCs w:val="18"/>
        </w:rPr>
        <w:t>993,600</w:t>
      </w:r>
      <w:r>
        <w:rPr>
          <w:rFonts w:hint="eastAsia"/>
          <w:color w:val="000000"/>
          <w:sz w:val="18"/>
          <w:szCs w:val="18"/>
        </w:rPr>
        <w:t>股，占公司总股本的</w:t>
      </w:r>
      <w:r>
        <w:rPr>
          <w:rFonts w:ascii="Times New Roman" w:hAnsi="Times New Roman" w:cs="Times New Roman"/>
          <w:color w:val="000000"/>
          <w:sz w:val="18"/>
          <w:szCs w:val="18"/>
        </w:rPr>
        <w:t>0.36%</w:t>
      </w:r>
      <w:r>
        <w:rPr>
          <w:rFonts w:hint="eastAsia"/>
          <w:color w:val="000000"/>
          <w:sz w:val="18"/>
          <w:szCs w:val="18"/>
        </w:rPr>
        <w:t>。本次解除限售的股份上市流通日期为</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20</w:t>
      </w:r>
      <w:r>
        <w:rPr>
          <w:rFonts w:hint="eastAsia"/>
          <w:color w:val="000000"/>
          <w:sz w:val="18"/>
          <w:szCs w:val="18"/>
        </w:rPr>
        <w:t>日。</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lastRenderedPageBreak/>
        <w:t>9</w:t>
      </w:r>
      <w:r>
        <w:rPr>
          <w:rFonts w:hint="eastAsia"/>
          <w:color w:val="000000"/>
          <w:sz w:val="18"/>
          <w:szCs w:val="18"/>
        </w:rPr>
        <w:t>、</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3</w:t>
      </w:r>
      <w:r>
        <w:rPr>
          <w:rFonts w:hint="eastAsia"/>
          <w:color w:val="000000"/>
          <w:sz w:val="18"/>
          <w:szCs w:val="18"/>
        </w:rPr>
        <w:t>月</w:t>
      </w:r>
      <w:r>
        <w:rPr>
          <w:rFonts w:ascii="Times New Roman" w:hAnsi="Times New Roman" w:cs="Times New Roman"/>
          <w:color w:val="000000"/>
          <w:sz w:val="18"/>
          <w:szCs w:val="18"/>
        </w:rPr>
        <w:t>2</w:t>
      </w:r>
      <w:r>
        <w:rPr>
          <w:rFonts w:hint="eastAsia"/>
          <w:color w:val="000000"/>
          <w:sz w:val="18"/>
          <w:szCs w:val="18"/>
        </w:rPr>
        <w:t>日，公司召开</w:t>
      </w:r>
      <w:r>
        <w:rPr>
          <w:rFonts w:ascii="Times New Roman" w:hAnsi="Times New Roman" w:cs="Times New Roman"/>
          <w:color w:val="000000"/>
          <w:sz w:val="18"/>
          <w:szCs w:val="18"/>
        </w:rPr>
        <w:t>2020</w:t>
      </w:r>
      <w:r>
        <w:rPr>
          <w:rFonts w:hint="eastAsia"/>
          <w:color w:val="000000"/>
          <w:sz w:val="18"/>
          <w:szCs w:val="18"/>
        </w:rPr>
        <w:t>年第一次临时股东大会，审议通过了《关于调整</w:t>
      </w:r>
      <w:r>
        <w:rPr>
          <w:rFonts w:ascii="Times New Roman" w:hAnsi="Times New Roman" w:cs="Times New Roman"/>
          <w:color w:val="000000"/>
          <w:sz w:val="18"/>
          <w:szCs w:val="18"/>
        </w:rPr>
        <w:t xml:space="preserve"> 2018 </w:t>
      </w:r>
      <w:r>
        <w:rPr>
          <w:rFonts w:hint="eastAsia"/>
          <w:color w:val="000000"/>
          <w:sz w:val="18"/>
          <w:szCs w:val="18"/>
        </w:rPr>
        <w:t>年限制性股票激励计划限制性股票回购数量和回购价格及回购注销部分激励对象已获授但尚未解除限售的限制性股票的议案》，同意公司回购注销</w:t>
      </w:r>
      <w:r>
        <w:rPr>
          <w:rFonts w:ascii="Times New Roman" w:hAnsi="Times New Roman" w:cs="Times New Roman"/>
          <w:color w:val="000000"/>
          <w:sz w:val="18"/>
          <w:szCs w:val="18"/>
        </w:rPr>
        <w:t xml:space="preserve"> 117,600 </w:t>
      </w:r>
      <w:r>
        <w:rPr>
          <w:rFonts w:hint="eastAsia"/>
          <w:color w:val="000000"/>
          <w:sz w:val="18"/>
          <w:szCs w:val="18"/>
        </w:rPr>
        <w:t>股限制性股票。（详见</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3</w:t>
      </w:r>
      <w:r>
        <w:rPr>
          <w:rFonts w:hint="eastAsia"/>
          <w:color w:val="000000"/>
          <w:sz w:val="18"/>
          <w:szCs w:val="18"/>
        </w:rPr>
        <w:t>月</w:t>
      </w:r>
      <w:r>
        <w:rPr>
          <w:rFonts w:ascii="Times New Roman" w:hAnsi="Times New Roman" w:cs="Times New Roman"/>
          <w:color w:val="000000"/>
          <w:sz w:val="18"/>
          <w:szCs w:val="18"/>
        </w:rPr>
        <w:t>3</w:t>
      </w:r>
      <w:r>
        <w:rPr>
          <w:rFonts w:hint="eastAsia"/>
          <w:color w:val="000000"/>
          <w:sz w:val="18"/>
          <w:szCs w:val="18"/>
        </w:rPr>
        <w:t>日在巨潮资讯网上发布的《广东翔鹭钨业股份有限公司</w:t>
      </w:r>
      <w:r>
        <w:rPr>
          <w:rFonts w:ascii="Times New Roman" w:hAnsi="Times New Roman" w:cs="Times New Roman"/>
          <w:color w:val="000000"/>
          <w:sz w:val="18"/>
          <w:szCs w:val="18"/>
        </w:rPr>
        <w:t>2020</w:t>
      </w:r>
      <w:r>
        <w:rPr>
          <w:rFonts w:hint="eastAsia"/>
          <w:color w:val="000000"/>
          <w:sz w:val="18"/>
          <w:szCs w:val="18"/>
        </w:rPr>
        <w:t>年第一次临时股东大会决议公告》公告编号：</w:t>
      </w:r>
      <w:r>
        <w:rPr>
          <w:rFonts w:ascii="Times New Roman" w:hAnsi="Times New Roman" w:cs="Times New Roman"/>
          <w:color w:val="000000"/>
          <w:sz w:val="18"/>
          <w:szCs w:val="18"/>
        </w:rPr>
        <w:t>2020-015</w:t>
      </w:r>
      <w:r>
        <w:rPr>
          <w:rFonts w:hint="eastAsia"/>
          <w:color w:val="000000"/>
          <w:sz w:val="18"/>
          <w:szCs w:val="18"/>
        </w:rPr>
        <w:t>）。</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t>10</w:t>
      </w:r>
      <w:r>
        <w:rPr>
          <w:rFonts w:hint="eastAsia"/>
          <w:color w:val="000000"/>
          <w:sz w:val="18"/>
          <w:szCs w:val="18"/>
        </w:rPr>
        <w:t>、</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6</w:t>
      </w:r>
      <w:r>
        <w:rPr>
          <w:rFonts w:hint="eastAsia"/>
          <w:color w:val="000000"/>
          <w:sz w:val="18"/>
          <w:szCs w:val="18"/>
        </w:rPr>
        <w:t>日，经中国证券登记结算有限责任公司深圳分公司审核确认，限制性股票</w:t>
      </w:r>
      <w:r>
        <w:rPr>
          <w:rFonts w:ascii="Times New Roman" w:hAnsi="Times New Roman" w:cs="Times New Roman"/>
          <w:color w:val="000000"/>
          <w:sz w:val="18"/>
          <w:szCs w:val="18"/>
        </w:rPr>
        <w:t>117,600</w:t>
      </w:r>
      <w:r>
        <w:rPr>
          <w:rFonts w:hint="eastAsia"/>
          <w:color w:val="000000"/>
          <w:sz w:val="18"/>
          <w:szCs w:val="18"/>
        </w:rPr>
        <w:t>股已完成回购注销事宜。（详见</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8</w:t>
      </w:r>
      <w:r>
        <w:rPr>
          <w:rFonts w:hint="eastAsia"/>
          <w:color w:val="000000"/>
          <w:sz w:val="18"/>
          <w:szCs w:val="18"/>
        </w:rPr>
        <w:t>日在巨潮资讯网上发布的《广东翔鹭钨业股份有限公司关于部分限制性股票回购注销完成的公告》，公告编号：</w:t>
      </w:r>
      <w:r>
        <w:rPr>
          <w:rFonts w:ascii="Times New Roman" w:hAnsi="Times New Roman" w:cs="Times New Roman"/>
          <w:color w:val="000000"/>
          <w:sz w:val="18"/>
          <w:szCs w:val="18"/>
        </w:rPr>
        <w:t>2020-033</w:t>
      </w:r>
      <w:r>
        <w:rPr>
          <w:rFonts w:hint="eastAsia"/>
          <w:color w:val="000000"/>
          <w:sz w:val="18"/>
          <w:szCs w:val="18"/>
        </w:rPr>
        <w:t>）。</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t>11</w:t>
      </w:r>
      <w:r>
        <w:rPr>
          <w:rFonts w:hint="eastAsia"/>
          <w:color w:val="000000"/>
          <w:sz w:val="18"/>
          <w:szCs w:val="18"/>
        </w:rPr>
        <w:t>、</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8</w:t>
      </w:r>
      <w:r>
        <w:rPr>
          <w:rFonts w:hint="eastAsia"/>
          <w:color w:val="000000"/>
          <w:sz w:val="18"/>
          <w:szCs w:val="18"/>
        </w:rPr>
        <w:t>月</w:t>
      </w:r>
      <w:r>
        <w:rPr>
          <w:rFonts w:ascii="Times New Roman" w:hAnsi="Times New Roman" w:cs="Times New Roman"/>
          <w:color w:val="000000"/>
          <w:sz w:val="18"/>
          <w:szCs w:val="18"/>
        </w:rPr>
        <w:t>22</w:t>
      </w:r>
      <w:r>
        <w:rPr>
          <w:rFonts w:hint="eastAsia"/>
          <w:color w:val="000000"/>
          <w:sz w:val="18"/>
          <w:szCs w:val="18"/>
        </w:rPr>
        <w:t>日，公司召开第三届董事会第四次会议和第三届监事会第十八次会议，审议通过了《关于回购注销部分激励对象已获授但尚未解除限售的限制性股票的议案》，鉴于</w:t>
      </w:r>
      <w:r>
        <w:rPr>
          <w:rFonts w:ascii="Times New Roman" w:hAnsi="Times New Roman" w:cs="Times New Roman"/>
          <w:color w:val="000000"/>
          <w:sz w:val="18"/>
          <w:szCs w:val="18"/>
        </w:rPr>
        <w:t>6</w:t>
      </w:r>
      <w:r>
        <w:rPr>
          <w:rFonts w:hint="eastAsia"/>
          <w:color w:val="000000"/>
          <w:sz w:val="18"/>
          <w:szCs w:val="18"/>
        </w:rPr>
        <w:t>名激励对象因个人原因离职，公司董事会拟对其已获授但尚未解除限售的</w:t>
      </w:r>
      <w:r>
        <w:rPr>
          <w:rFonts w:ascii="Times New Roman" w:hAnsi="Times New Roman" w:cs="Times New Roman"/>
          <w:color w:val="000000"/>
          <w:sz w:val="18"/>
          <w:szCs w:val="18"/>
        </w:rPr>
        <w:t>203,520</w:t>
      </w:r>
      <w:r>
        <w:rPr>
          <w:rFonts w:hint="eastAsia"/>
          <w:color w:val="000000"/>
          <w:sz w:val="18"/>
          <w:szCs w:val="18"/>
        </w:rPr>
        <w:t>股限制性股票进行回购注销；鉴于以</w:t>
      </w:r>
      <w:r>
        <w:rPr>
          <w:rFonts w:ascii="Times New Roman" w:hAnsi="Times New Roman" w:cs="Times New Roman"/>
          <w:color w:val="000000"/>
          <w:sz w:val="18"/>
          <w:szCs w:val="18"/>
        </w:rPr>
        <w:t>2017</w:t>
      </w:r>
      <w:r>
        <w:rPr>
          <w:rFonts w:hint="eastAsia"/>
          <w:color w:val="000000"/>
          <w:sz w:val="18"/>
          <w:szCs w:val="18"/>
        </w:rPr>
        <w:t>年净利润为基数，公司</w:t>
      </w:r>
      <w:r>
        <w:rPr>
          <w:rFonts w:ascii="Times New Roman" w:hAnsi="Times New Roman" w:cs="Times New Roman"/>
          <w:color w:val="000000"/>
          <w:sz w:val="18"/>
          <w:szCs w:val="18"/>
        </w:rPr>
        <w:t>2019</w:t>
      </w:r>
      <w:r>
        <w:rPr>
          <w:rFonts w:hint="eastAsia"/>
          <w:color w:val="000000"/>
          <w:sz w:val="18"/>
          <w:szCs w:val="18"/>
        </w:rPr>
        <w:t>年度实现的净利润的增长率低于</w:t>
      </w:r>
      <w:r>
        <w:rPr>
          <w:rFonts w:ascii="Times New Roman" w:hAnsi="Times New Roman" w:cs="Times New Roman"/>
          <w:color w:val="000000"/>
          <w:sz w:val="18"/>
          <w:szCs w:val="18"/>
        </w:rPr>
        <w:t>30%</w:t>
      </w:r>
      <w:r>
        <w:rPr>
          <w:rFonts w:hint="eastAsia"/>
          <w:color w:val="000000"/>
          <w:sz w:val="18"/>
          <w:szCs w:val="18"/>
        </w:rPr>
        <w:t>，公司业绩考核要求未达到《</w:t>
      </w:r>
      <w:r>
        <w:rPr>
          <w:rFonts w:ascii="Times New Roman" w:hAnsi="Times New Roman" w:cs="Times New Roman"/>
          <w:color w:val="000000"/>
          <w:sz w:val="18"/>
          <w:szCs w:val="18"/>
        </w:rPr>
        <w:t>2018</w:t>
      </w:r>
      <w:r>
        <w:rPr>
          <w:rFonts w:hint="eastAsia"/>
          <w:color w:val="000000"/>
          <w:sz w:val="18"/>
          <w:szCs w:val="18"/>
        </w:rPr>
        <w:t>年限制性股票激励计划》所规定的首次授予限制性股票第二个解除限售期的解除限售条件，根据《</w:t>
      </w:r>
      <w:r>
        <w:rPr>
          <w:rFonts w:ascii="Times New Roman" w:hAnsi="Times New Roman" w:cs="Times New Roman"/>
          <w:color w:val="000000"/>
          <w:sz w:val="18"/>
          <w:szCs w:val="18"/>
        </w:rPr>
        <w:t>2018</w:t>
      </w:r>
      <w:r>
        <w:rPr>
          <w:rFonts w:hint="eastAsia"/>
          <w:color w:val="000000"/>
          <w:sz w:val="18"/>
          <w:szCs w:val="18"/>
        </w:rPr>
        <w:t>年限制性股票激励计划》及《上市公司股权激励管理办法》，公司拟对</w:t>
      </w:r>
      <w:r>
        <w:rPr>
          <w:rFonts w:ascii="Times New Roman" w:hAnsi="Times New Roman" w:cs="Times New Roman"/>
          <w:color w:val="000000"/>
          <w:sz w:val="18"/>
          <w:szCs w:val="18"/>
        </w:rPr>
        <w:t>91</w:t>
      </w:r>
      <w:r>
        <w:rPr>
          <w:rFonts w:hint="eastAsia"/>
          <w:color w:val="000000"/>
          <w:sz w:val="18"/>
          <w:szCs w:val="18"/>
        </w:rPr>
        <w:t>名激励对象已获授但尚未解除限售的第二个解除限售期对应的</w:t>
      </w:r>
      <w:r>
        <w:rPr>
          <w:rFonts w:ascii="Times New Roman" w:hAnsi="Times New Roman" w:cs="Times New Roman"/>
          <w:color w:val="000000"/>
          <w:sz w:val="18"/>
          <w:szCs w:val="18"/>
        </w:rPr>
        <w:t>643,440</w:t>
      </w:r>
      <w:r>
        <w:rPr>
          <w:rFonts w:hint="eastAsia"/>
          <w:color w:val="000000"/>
          <w:sz w:val="18"/>
          <w:szCs w:val="18"/>
        </w:rPr>
        <w:t>股限制性股票进行回购注销。同时，由于</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20</w:t>
      </w:r>
      <w:r>
        <w:rPr>
          <w:rFonts w:hint="eastAsia"/>
          <w:color w:val="000000"/>
          <w:sz w:val="18"/>
          <w:szCs w:val="18"/>
        </w:rPr>
        <w:t>日召开的</w:t>
      </w:r>
      <w:r>
        <w:rPr>
          <w:rFonts w:ascii="Times New Roman" w:hAnsi="Times New Roman" w:cs="Times New Roman"/>
          <w:color w:val="000000"/>
          <w:sz w:val="18"/>
          <w:szCs w:val="18"/>
        </w:rPr>
        <w:t>2019</w:t>
      </w:r>
      <w:r>
        <w:rPr>
          <w:rFonts w:hint="eastAsia"/>
          <w:color w:val="000000"/>
          <w:sz w:val="18"/>
          <w:szCs w:val="18"/>
        </w:rPr>
        <w:t>年度股东大会审议通过了《关于公司</w:t>
      </w:r>
      <w:r>
        <w:rPr>
          <w:rFonts w:ascii="Times New Roman" w:hAnsi="Times New Roman" w:cs="Times New Roman"/>
          <w:color w:val="000000"/>
          <w:sz w:val="18"/>
          <w:szCs w:val="18"/>
        </w:rPr>
        <w:t>2019</w:t>
      </w:r>
      <w:r>
        <w:rPr>
          <w:rFonts w:hint="eastAsia"/>
          <w:color w:val="000000"/>
          <w:sz w:val="18"/>
          <w:szCs w:val="18"/>
        </w:rPr>
        <w:t>年度利润分配预案的议案》，根据《激励计划》的相关规定，拟对</w:t>
      </w:r>
      <w:r>
        <w:rPr>
          <w:rFonts w:ascii="Times New Roman" w:hAnsi="Times New Roman" w:cs="Times New Roman"/>
          <w:color w:val="000000"/>
          <w:sz w:val="18"/>
          <w:szCs w:val="18"/>
        </w:rPr>
        <w:t>2019</w:t>
      </w:r>
      <w:r>
        <w:rPr>
          <w:rFonts w:hint="eastAsia"/>
          <w:color w:val="000000"/>
          <w:sz w:val="18"/>
          <w:szCs w:val="18"/>
        </w:rPr>
        <w:t>年限制性股票激励计划限制性股票回购价格进行调整，回购价格由</w:t>
      </w:r>
      <w:r>
        <w:rPr>
          <w:rFonts w:ascii="Times New Roman" w:hAnsi="Times New Roman" w:cs="Times New Roman"/>
          <w:color w:val="000000"/>
          <w:sz w:val="18"/>
          <w:szCs w:val="18"/>
        </w:rPr>
        <w:t>5.71</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股调整为</w:t>
      </w:r>
      <w:r>
        <w:rPr>
          <w:rFonts w:ascii="Times New Roman" w:hAnsi="Times New Roman" w:cs="Times New Roman"/>
          <w:color w:val="000000"/>
          <w:sz w:val="18"/>
          <w:szCs w:val="18"/>
        </w:rPr>
        <w:t>5.66</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股。（详见</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8</w:t>
      </w:r>
      <w:r>
        <w:rPr>
          <w:rFonts w:hint="eastAsia"/>
          <w:color w:val="000000"/>
          <w:sz w:val="18"/>
          <w:szCs w:val="18"/>
        </w:rPr>
        <w:t>月</w:t>
      </w:r>
      <w:r>
        <w:rPr>
          <w:rFonts w:ascii="Times New Roman" w:hAnsi="Times New Roman" w:cs="Times New Roman"/>
          <w:color w:val="000000"/>
          <w:sz w:val="18"/>
          <w:szCs w:val="18"/>
        </w:rPr>
        <w:t>24</w:t>
      </w:r>
      <w:r>
        <w:rPr>
          <w:rFonts w:hint="eastAsia"/>
          <w:color w:val="000000"/>
          <w:sz w:val="18"/>
          <w:szCs w:val="18"/>
        </w:rPr>
        <w:t>日在巨潮资讯网上发布的《广东翔鹭钨业股份有限公司关于回购注销部分激励对象已获授但尚未解除限售的限制性股票的公告》，公告编号：</w:t>
      </w:r>
      <w:r>
        <w:rPr>
          <w:rFonts w:ascii="Times New Roman" w:hAnsi="Times New Roman" w:cs="Times New Roman"/>
          <w:color w:val="000000"/>
          <w:sz w:val="18"/>
          <w:szCs w:val="18"/>
        </w:rPr>
        <w:t>2020-068</w:t>
      </w:r>
      <w:r>
        <w:rPr>
          <w:rFonts w:hint="eastAsia"/>
          <w:color w:val="000000"/>
          <w:sz w:val="18"/>
          <w:szCs w:val="18"/>
        </w:rPr>
        <w:t>）。</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t>12</w:t>
      </w:r>
      <w:r>
        <w:rPr>
          <w:rFonts w:hint="eastAsia"/>
          <w:color w:val="000000"/>
          <w:sz w:val="18"/>
          <w:szCs w:val="18"/>
        </w:rPr>
        <w:t>、</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9</w:t>
      </w:r>
      <w:r>
        <w:rPr>
          <w:rFonts w:hint="eastAsia"/>
          <w:color w:val="000000"/>
          <w:sz w:val="18"/>
          <w:szCs w:val="18"/>
        </w:rPr>
        <w:t>月</w:t>
      </w:r>
      <w:r>
        <w:rPr>
          <w:rFonts w:ascii="Times New Roman" w:hAnsi="Times New Roman" w:cs="Times New Roman"/>
          <w:color w:val="000000"/>
          <w:sz w:val="18"/>
          <w:szCs w:val="18"/>
        </w:rPr>
        <w:t>8</w:t>
      </w:r>
      <w:r>
        <w:rPr>
          <w:rFonts w:hint="eastAsia"/>
          <w:color w:val="000000"/>
          <w:sz w:val="18"/>
          <w:szCs w:val="18"/>
        </w:rPr>
        <w:t>日，公司召开</w:t>
      </w:r>
      <w:r>
        <w:rPr>
          <w:rFonts w:ascii="Times New Roman" w:hAnsi="Times New Roman" w:cs="Times New Roman"/>
          <w:color w:val="000000"/>
          <w:sz w:val="18"/>
          <w:szCs w:val="18"/>
        </w:rPr>
        <w:t>2020</w:t>
      </w:r>
      <w:r>
        <w:rPr>
          <w:rFonts w:hint="eastAsia"/>
          <w:color w:val="000000"/>
          <w:sz w:val="18"/>
          <w:szCs w:val="18"/>
        </w:rPr>
        <w:t>年第三次临时股东大会，审议通过了《关于回购注销部分激励对象已获授但尚未解除限售的限制性股票的议案》，同意公司回购注销</w:t>
      </w:r>
      <w:r>
        <w:rPr>
          <w:rFonts w:ascii="Times New Roman" w:hAnsi="Times New Roman" w:cs="Times New Roman"/>
          <w:color w:val="000000"/>
          <w:sz w:val="18"/>
          <w:szCs w:val="18"/>
        </w:rPr>
        <w:t>643,440</w:t>
      </w:r>
      <w:r>
        <w:rPr>
          <w:rFonts w:hint="eastAsia"/>
          <w:color w:val="000000"/>
          <w:sz w:val="18"/>
          <w:szCs w:val="18"/>
        </w:rPr>
        <w:t>股限制性股票。（详见</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9</w:t>
      </w:r>
      <w:r>
        <w:rPr>
          <w:rFonts w:hint="eastAsia"/>
          <w:color w:val="000000"/>
          <w:sz w:val="18"/>
          <w:szCs w:val="18"/>
        </w:rPr>
        <w:t>月</w:t>
      </w:r>
      <w:r>
        <w:rPr>
          <w:rFonts w:ascii="Times New Roman" w:hAnsi="Times New Roman" w:cs="Times New Roman"/>
          <w:color w:val="000000"/>
          <w:sz w:val="18"/>
          <w:szCs w:val="18"/>
        </w:rPr>
        <w:t>9</w:t>
      </w:r>
      <w:r>
        <w:rPr>
          <w:rFonts w:hint="eastAsia"/>
          <w:color w:val="000000"/>
          <w:sz w:val="18"/>
          <w:szCs w:val="18"/>
        </w:rPr>
        <w:t>日在巨潮资讯网上发布的《广东翔鹭钨业股份有限公司</w:t>
      </w:r>
      <w:r>
        <w:rPr>
          <w:rFonts w:ascii="Times New Roman" w:hAnsi="Times New Roman" w:cs="Times New Roman"/>
          <w:color w:val="000000"/>
          <w:sz w:val="18"/>
          <w:szCs w:val="18"/>
        </w:rPr>
        <w:t>2020</w:t>
      </w:r>
      <w:r>
        <w:rPr>
          <w:rFonts w:hint="eastAsia"/>
          <w:color w:val="000000"/>
          <w:sz w:val="18"/>
          <w:szCs w:val="18"/>
        </w:rPr>
        <w:t>年第三次临时股东大会决议公告》，公告编号：</w:t>
      </w:r>
      <w:r>
        <w:rPr>
          <w:rFonts w:ascii="Times New Roman" w:hAnsi="Times New Roman" w:cs="Times New Roman"/>
          <w:color w:val="000000"/>
          <w:sz w:val="18"/>
          <w:szCs w:val="18"/>
        </w:rPr>
        <w:t>2020-075</w:t>
      </w:r>
      <w:r>
        <w:rPr>
          <w:rFonts w:hint="eastAsia"/>
          <w:color w:val="000000"/>
          <w:sz w:val="18"/>
          <w:szCs w:val="18"/>
        </w:rPr>
        <w:t>）。</w:t>
      </w:r>
    </w:p>
    <w:p w:rsidR="00E22F4C" w:rsidRDefault="00E22F4C">
      <w:pPr>
        <w:pStyle w:val="a4"/>
        <w:spacing w:before="40" w:beforeAutospacing="0" w:after="40" w:afterAutospacing="0"/>
        <w:jc w:val="both"/>
        <w:divId w:val="504974932"/>
        <w:rPr>
          <w:sz w:val="18"/>
          <w:szCs w:val="18"/>
        </w:rPr>
      </w:pPr>
      <w:r>
        <w:rPr>
          <w:rFonts w:ascii="Times New Roman" w:hAnsi="Times New Roman" w:cs="Times New Roman"/>
          <w:color w:val="000000"/>
          <w:sz w:val="18"/>
          <w:szCs w:val="18"/>
        </w:rPr>
        <w:t>13</w:t>
      </w:r>
      <w:r>
        <w:rPr>
          <w:rFonts w:hint="eastAsia"/>
          <w:color w:val="000000"/>
          <w:sz w:val="18"/>
          <w:szCs w:val="18"/>
        </w:rPr>
        <w:t>、</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9</w:t>
      </w:r>
      <w:r>
        <w:rPr>
          <w:rFonts w:hint="eastAsia"/>
          <w:color w:val="000000"/>
          <w:sz w:val="18"/>
          <w:szCs w:val="18"/>
        </w:rPr>
        <w:t>月</w:t>
      </w:r>
      <w:r>
        <w:rPr>
          <w:rFonts w:ascii="Times New Roman" w:hAnsi="Times New Roman" w:cs="Times New Roman"/>
          <w:color w:val="000000"/>
          <w:sz w:val="18"/>
          <w:szCs w:val="18"/>
        </w:rPr>
        <w:t>30</w:t>
      </w:r>
      <w:r>
        <w:rPr>
          <w:rFonts w:hint="eastAsia"/>
          <w:color w:val="000000"/>
          <w:sz w:val="18"/>
          <w:szCs w:val="18"/>
        </w:rPr>
        <w:t>日，经中国证券登记结算有限责任公司深圳分公司审核确认，限制性股票</w:t>
      </w:r>
      <w:r>
        <w:rPr>
          <w:rFonts w:ascii="Times New Roman" w:hAnsi="Times New Roman" w:cs="Times New Roman"/>
          <w:color w:val="000000"/>
          <w:sz w:val="18"/>
          <w:szCs w:val="18"/>
        </w:rPr>
        <w:t>846,960</w:t>
      </w:r>
      <w:r>
        <w:rPr>
          <w:rFonts w:hint="eastAsia"/>
          <w:color w:val="000000"/>
          <w:sz w:val="18"/>
          <w:szCs w:val="18"/>
        </w:rPr>
        <w:t>股已完成回购注销事宜。（详见</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w:t>
      </w:r>
      <w:r>
        <w:rPr>
          <w:rFonts w:ascii="Times New Roman" w:hAnsi="Times New Roman" w:cs="Times New Roman"/>
          <w:color w:val="000000"/>
          <w:sz w:val="18"/>
          <w:szCs w:val="18"/>
        </w:rPr>
        <w:t>9</w:t>
      </w:r>
      <w:r>
        <w:rPr>
          <w:rFonts w:hint="eastAsia"/>
          <w:color w:val="000000"/>
          <w:sz w:val="18"/>
          <w:szCs w:val="18"/>
        </w:rPr>
        <w:t>日在巨潮资讯网上发布的《广东翔鹭钨业股份有限公司关于部分限制性股票回购注销完成的公告》，公告编号：</w:t>
      </w:r>
      <w:r>
        <w:rPr>
          <w:rFonts w:ascii="Times New Roman" w:hAnsi="Times New Roman" w:cs="Times New Roman"/>
          <w:color w:val="000000"/>
          <w:sz w:val="18"/>
          <w:szCs w:val="18"/>
        </w:rPr>
        <w:t>2020-078</w:t>
      </w:r>
      <w:r>
        <w:rPr>
          <w:rFonts w:hint="eastAsia"/>
          <w:color w:val="000000"/>
          <w:sz w:val="18"/>
          <w:szCs w:val="18"/>
        </w:rPr>
        <w:t>）。</w:t>
      </w:r>
    </w:p>
    <w:p w:rsidR="00E22F4C" w:rsidRDefault="00E22F4C">
      <w:pPr>
        <w:pStyle w:val="a4"/>
        <w:spacing w:before="0" w:beforeAutospacing="0" w:after="0" w:afterAutospacing="0"/>
        <w:jc w:val="both"/>
        <w:divId w:val="504974932"/>
        <w:rPr>
          <w:sz w:val="18"/>
          <w:szCs w:val="18"/>
        </w:rPr>
      </w:pPr>
      <w:r>
        <w:rPr>
          <w:rFonts w:ascii="Times New Roman" w:hAnsi="Times New Roman" w:cs="Times New Roman"/>
          <w:color w:val="000000"/>
          <w:sz w:val="18"/>
          <w:szCs w:val="18"/>
        </w:rPr>
        <w:t>14</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4</w:t>
      </w:r>
      <w:r>
        <w:rPr>
          <w:rFonts w:hint="eastAsia"/>
          <w:color w:val="000000"/>
          <w:sz w:val="18"/>
          <w:szCs w:val="18"/>
        </w:rPr>
        <w:t>月</w:t>
      </w:r>
      <w:r>
        <w:rPr>
          <w:rFonts w:ascii="Times New Roman" w:hAnsi="Times New Roman" w:cs="Times New Roman"/>
          <w:color w:val="000000"/>
          <w:sz w:val="18"/>
          <w:szCs w:val="18"/>
        </w:rPr>
        <w:t>28</w:t>
      </w:r>
      <w:r>
        <w:rPr>
          <w:rFonts w:hint="eastAsia"/>
          <w:color w:val="000000"/>
          <w:sz w:val="18"/>
          <w:szCs w:val="18"/>
        </w:rPr>
        <w:t>日，公司召开第三届董事会</w:t>
      </w:r>
      <w:r>
        <w:rPr>
          <w:rFonts w:ascii="Times New Roman" w:hAnsi="Times New Roman" w:cs="Times New Roman"/>
          <w:color w:val="000000"/>
          <w:sz w:val="18"/>
          <w:szCs w:val="18"/>
        </w:rPr>
        <w:t>2021</w:t>
      </w:r>
      <w:r>
        <w:rPr>
          <w:rFonts w:hint="eastAsia"/>
          <w:color w:val="000000"/>
          <w:sz w:val="18"/>
          <w:szCs w:val="18"/>
        </w:rPr>
        <w:t>年第二次临时会议和第三届监事会第二十二次会议，审议通过了《关于回购注销部分激励对象已获授但尚未解除限售的限制性股票的议案》，鉴于</w:t>
      </w:r>
      <w:r>
        <w:rPr>
          <w:rFonts w:ascii="Times New Roman" w:hAnsi="Times New Roman" w:cs="Times New Roman"/>
          <w:color w:val="000000"/>
          <w:sz w:val="18"/>
          <w:szCs w:val="18"/>
        </w:rPr>
        <w:t>6</w:t>
      </w:r>
      <w:r>
        <w:rPr>
          <w:rFonts w:hint="eastAsia"/>
          <w:color w:val="000000"/>
          <w:sz w:val="18"/>
          <w:szCs w:val="18"/>
        </w:rPr>
        <w:t>名激励对象因个人原因离职，公司董事会拟对其已获授但尚未解除限售的</w:t>
      </w:r>
      <w:r>
        <w:rPr>
          <w:rFonts w:ascii="Times New Roman" w:hAnsi="Times New Roman" w:cs="Times New Roman"/>
          <w:color w:val="000000"/>
          <w:sz w:val="18"/>
          <w:szCs w:val="18"/>
        </w:rPr>
        <w:t>39,360</w:t>
      </w:r>
      <w:r>
        <w:rPr>
          <w:rFonts w:hint="eastAsia"/>
          <w:color w:val="000000"/>
          <w:sz w:val="18"/>
          <w:szCs w:val="18"/>
        </w:rPr>
        <w:t>股限制性股票进行回购注销；鉴于以</w:t>
      </w:r>
      <w:r>
        <w:rPr>
          <w:rFonts w:ascii="Times New Roman" w:hAnsi="Times New Roman" w:cs="Times New Roman"/>
          <w:color w:val="000000"/>
          <w:sz w:val="18"/>
          <w:szCs w:val="18"/>
        </w:rPr>
        <w:t>2017</w:t>
      </w:r>
      <w:r>
        <w:rPr>
          <w:rFonts w:hint="eastAsia"/>
          <w:color w:val="000000"/>
          <w:sz w:val="18"/>
          <w:szCs w:val="18"/>
        </w:rPr>
        <w:t>年净利润为基数，公司</w:t>
      </w:r>
      <w:r>
        <w:rPr>
          <w:rFonts w:ascii="Times New Roman" w:hAnsi="Times New Roman" w:cs="Times New Roman"/>
          <w:color w:val="000000"/>
          <w:sz w:val="18"/>
          <w:szCs w:val="18"/>
        </w:rPr>
        <w:t>2020</w:t>
      </w:r>
      <w:r>
        <w:rPr>
          <w:rFonts w:hint="eastAsia"/>
          <w:color w:val="000000"/>
          <w:sz w:val="18"/>
          <w:szCs w:val="18"/>
        </w:rPr>
        <w:t>年度实现的净利润的增长率低于</w:t>
      </w:r>
      <w:r>
        <w:rPr>
          <w:rFonts w:ascii="Times New Roman" w:hAnsi="Times New Roman" w:cs="Times New Roman"/>
          <w:color w:val="000000"/>
          <w:sz w:val="18"/>
          <w:szCs w:val="18"/>
        </w:rPr>
        <w:t>45%</w:t>
      </w:r>
      <w:r>
        <w:rPr>
          <w:rFonts w:hint="eastAsia"/>
          <w:color w:val="000000"/>
          <w:sz w:val="18"/>
          <w:szCs w:val="18"/>
        </w:rPr>
        <w:t>，公司业绩考核要求未达到《</w:t>
      </w:r>
      <w:r>
        <w:rPr>
          <w:rFonts w:ascii="Times New Roman" w:hAnsi="Times New Roman" w:cs="Times New Roman"/>
          <w:color w:val="000000"/>
          <w:sz w:val="18"/>
          <w:szCs w:val="18"/>
        </w:rPr>
        <w:t>2018</w:t>
      </w:r>
      <w:r>
        <w:rPr>
          <w:rFonts w:hint="eastAsia"/>
          <w:color w:val="000000"/>
          <w:sz w:val="18"/>
          <w:szCs w:val="18"/>
        </w:rPr>
        <w:t>年限制性股票激励计划》所规定的首次授予限制性股票第三个解除限售期的解除限售条件，根据《</w:t>
      </w:r>
      <w:r>
        <w:rPr>
          <w:rFonts w:ascii="Times New Roman" w:hAnsi="Times New Roman" w:cs="Times New Roman"/>
          <w:color w:val="000000"/>
          <w:sz w:val="18"/>
          <w:szCs w:val="18"/>
        </w:rPr>
        <w:t>2018</w:t>
      </w:r>
      <w:r>
        <w:rPr>
          <w:rFonts w:hint="eastAsia"/>
          <w:color w:val="000000"/>
          <w:sz w:val="18"/>
          <w:szCs w:val="18"/>
        </w:rPr>
        <w:t>年限制性股票激励计划》及《上市公司股权激励管理办法》，公司拟对共计</w:t>
      </w:r>
      <w:r>
        <w:rPr>
          <w:rFonts w:ascii="Times New Roman" w:hAnsi="Times New Roman" w:cs="Times New Roman"/>
          <w:color w:val="000000"/>
          <w:sz w:val="18"/>
          <w:szCs w:val="18"/>
        </w:rPr>
        <w:t>91</w:t>
      </w:r>
      <w:r>
        <w:rPr>
          <w:rFonts w:hint="eastAsia"/>
          <w:color w:val="000000"/>
          <w:sz w:val="18"/>
          <w:szCs w:val="18"/>
        </w:rPr>
        <w:t>名激励对象已获授但尚未解除限售的第三个解除限售期对应的</w:t>
      </w:r>
      <w:r>
        <w:rPr>
          <w:rFonts w:ascii="Times New Roman" w:hAnsi="Times New Roman" w:cs="Times New Roman"/>
          <w:color w:val="000000"/>
          <w:sz w:val="18"/>
          <w:szCs w:val="18"/>
        </w:rPr>
        <w:t>643,440</w:t>
      </w:r>
      <w:r>
        <w:rPr>
          <w:rFonts w:hint="eastAsia"/>
          <w:color w:val="000000"/>
          <w:sz w:val="18"/>
          <w:szCs w:val="18"/>
        </w:rPr>
        <w:t>股限制性股票进行回购注销（详见</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4</w:t>
      </w:r>
      <w:r>
        <w:rPr>
          <w:rFonts w:hint="eastAsia"/>
          <w:color w:val="000000"/>
          <w:sz w:val="18"/>
          <w:szCs w:val="18"/>
        </w:rPr>
        <w:t>月</w:t>
      </w:r>
      <w:r>
        <w:rPr>
          <w:rFonts w:ascii="Times New Roman" w:hAnsi="Times New Roman" w:cs="Times New Roman"/>
          <w:color w:val="000000"/>
          <w:sz w:val="18"/>
          <w:szCs w:val="18"/>
        </w:rPr>
        <w:t>29</w:t>
      </w:r>
      <w:r>
        <w:rPr>
          <w:rFonts w:hint="eastAsia"/>
          <w:color w:val="000000"/>
          <w:sz w:val="18"/>
          <w:szCs w:val="18"/>
        </w:rPr>
        <w:t>日在巨潮资讯网上发布的《广东翔鹭钨业股份有限公司关于回购注销部分激励对象已获授但尚未解除限售的限制性股票的公告》，公告编号：</w:t>
      </w:r>
      <w:r>
        <w:rPr>
          <w:rFonts w:ascii="Times New Roman" w:hAnsi="Times New Roman" w:cs="Times New Roman"/>
          <w:color w:val="000000"/>
          <w:sz w:val="18"/>
          <w:szCs w:val="18"/>
        </w:rPr>
        <w:t>2021-024</w:t>
      </w:r>
      <w:r>
        <w:rPr>
          <w:rFonts w:hint="eastAsia"/>
          <w:color w:val="000000"/>
          <w:sz w:val="18"/>
          <w:szCs w:val="18"/>
        </w:rPr>
        <w:t>）。</w:t>
      </w:r>
    </w:p>
    <w:p w:rsidR="00E22F4C" w:rsidRDefault="00E22F4C">
      <w:pPr>
        <w:pStyle w:val="a4"/>
        <w:spacing w:before="0" w:beforeAutospacing="0" w:after="0" w:afterAutospacing="0"/>
        <w:jc w:val="both"/>
        <w:divId w:val="504974932"/>
        <w:rPr>
          <w:sz w:val="18"/>
          <w:szCs w:val="18"/>
        </w:rPr>
      </w:pPr>
      <w:r>
        <w:rPr>
          <w:rFonts w:ascii="Times New Roman" w:hAnsi="Times New Roman" w:cs="Times New Roman"/>
          <w:color w:val="000000"/>
          <w:sz w:val="18"/>
          <w:szCs w:val="18"/>
        </w:rPr>
        <w:t>15</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21</w:t>
      </w:r>
      <w:r>
        <w:rPr>
          <w:rFonts w:hint="eastAsia"/>
          <w:color w:val="000000"/>
          <w:sz w:val="18"/>
          <w:szCs w:val="18"/>
        </w:rPr>
        <w:t>日，公司召开</w:t>
      </w:r>
      <w:r>
        <w:rPr>
          <w:rFonts w:ascii="Times New Roman" w:hAnsi="Times New Roman" w:cs="Times New Roman"/>
          <w:color w:val="000000"/>
          <w:sz w:val="18"/>
          <w:szCs w:val="18"/>
        </w:rPr>
        <w:t>2020</w:t>
      </w:r>
      <w:r>
        <w:rPr>
          <w:rFonts w:hint="eastAsia"/>
          <w:color w:val="000000"/>
          <w:sz w:val="18"/>
          <w:szCs w:val="18"/>
        </w:rPr>
        <w:t>年年度股东大会，审议通过了《关于回购注销部分激励对象已获授但尚未解除限售的限制性股票的议案》，同意公司回购注销限制性股票数量合计</w:t>
      </w:r>
      <w:r>
        <w:rPr>
          <w:rFonts w:ascii="Times New Roman" w:hAnsi="Times New Roman" w:cs="Times New Roman"/>
          <w:color w:val="000000"/>
          <w:sz w:val="18"/>
          <w:szCs w:val="18"/>
        </w:rPr>
        <w:t>643,440</w:t>
      </w:r>
      <w:r>
        <w:rPr>
          <w:rFonts w:hint="eastAsia"/>
          <w:color w:val="000000"/>
          <w:sz w:val="18"/>
          <w:szCs w:val="18"/>
        </w:rPr>
        <w:t>股（详见</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22</w:t>
      </w:r>
      <w:r>
        <w:rPr>
          <w:rFonts w:hint="eastAsia"/>
          <w:color w:val="000000"/>
          <w:sz w:val="18"/>
          <w:szCs w:val="18"/>
        </w:rPr>
        <w:t>日在巨潮资讯网上发布的《广东翔鹭钨业股份有限公司</w:t>
      </w:r>
      <w:r>
        <w:rPr>
          <w:rFonts w:ascii="Times New Roman" w:hAnsi="Times New Roman" w:cs="Times New Roman"/>
          <w:color w:val="000000"/>
          <w:sz w:val="18"/>
          <w:szCs w:val="18"/>
        </w:rPr>
        <w:t>2020</w:t>
      </w:r>
      <w:r>
        <w:rPr>
          <w:rFonts w:hint="eastAsia"/>
          <w:color w:val="000000"/>
          <w:sz w:val="18"/>
          <w:szCs w:val="18"/>
        </w:rPr>
        <w:t>年年度股东大会决议公告》，公告编号：</w:t>
      </w:r>
      <w:r>
        <w:rPr>
          <w:rFonts w:ascii="Times New Roman" w:hAnsi="Times New Roman" w:cs="Times New Roman"/>
          <w:color w:val="000000"/>
          <w:sz w:val="18"/>
          <w:szCs w:val="18"/>
        </w:rPr>
        <w:t>2021-035</w:t>
      </w:r>
      <w:r>
        <w:rPr>
          <w:rFonts w:hint="eastAsia"/>
          <w:color w:val="000000"/>
          <w:sz w:val="18"/>
          <w:szCs w:val="18"/>
        </w:rPr>
        <w:t>）。</w:t>
      </w:r>
    </w:p>
    <w:p w:rsidR="00E22F4C" w:rsidRDefault="00E22F4C">
      <w:pPr>
        <w:pStyle w:val="a4"/>
        <w:spacing w:before="0" w:beforeAutospacing="0" w:after="0" w:afterAutospacing="0"/>
        <w:jc w:val="both"/>
        <w:divId w:val="504974932"/>
        <w:rPr>
          <w:sz w:val="18"/>
          <w:szCs w:val="18"/>
        </w:rPr>
      </w:pPr>
      <w:r>
        <w:rPr>
          <w:rFonts w:ascii="Times New Roman" w:hAnsi="Times New Roman" w:cs="Times New Roman"/>
          <w:color w:val="000000"/>
          <w:sz w:val="18"/>
          <w:szCs w:val="18"/>
        </w:rPr>
        <w:t>16</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7</w:t>
      </w:r>
      <w:r>
        <w:rPr>
          <w:rFonts w:hint="eastAsia"/>
          <w:color w:val="000000"/>
          <w:sz w:val="18"/>
          <w:szCs w:val="18"/>
        </w:rPr>
        <w:t>月</w:t>
      </w:r>
      <w:r>
        <w:rPr>
          <w:rFonts w:ascii="Times New Roman" w:hAnsi="Times New Roman" w:cs="Times New Roman"/>
          <w:color w:val="000000"/>
          <w:sz w:val="18"/>
          <w:szCs w:val="18"/>
        </w:rPr>
        <w:t>15</w:t>
      </w:r>
      <w:r>
        <w:rPr>
          <w:rFonts w:hint="eastAsia"/>
          <w:color w:val="000000"/>
          <w:sz w:val="18"/>
          <w:szCs w:val="18"/>
        </w:rPr>
        <w:t>日，经中国证券登记结算有限责任公司深圳分公司审核确认，限制性股票</w:t>
      </w:r>
      <w:r>
        <w:rPr>
          <w:rFonts w:ascii="Times New Roman" w:hAnsi="Times New Roman" w:cs="Times New Roman"/>
          <w:color w:val="000000"/>
          <w:sz w:val="18"/>
          <w:szCs w:val="18"/>
        </w:rPr>
        <w:t>643,440</w:t>
      </w:r>
      <w:r>
        <w:rPr>
          <w:rFonts w:hint="eastAsia"/>
          <w:color w:val="000000"/>
          <w:sz w:val="18"/>
          <w:szCs w:val="18"/>
        </w:rPr>
        <w:t>股已完成回购注销事宜。</w:t>
      </w:r>
    </w:p>
    <w:p w:rsidR="00E22F4C" w:rsidRDefault="00E22F4C">
      <w:pPr>
        <w:pStyle w:val="a4"/>
        <w:spacing w:before="0" w:beforeAutospacing="0" w:after="0" w:afterAutospacing="0"/>
        <w:jc w:val="both"/>
        <w:divId w:val="504974932"/>
        <w:rPr>
          <w:sz w:val="18"/>
          <w:szCs w:val="18"/>
        </w:rPr>
      </w:pPr>
      <w:r>
        <w:rPr>
          <w:rFonts w:ascii="Times New Roman" w:hAnsi="Times New Roman" w:cs="Times New Roman"/>
          <w:color w:val="000000"/>
          <w:sz w:val="18"/>
          <w:szCs w:val="18"/>
        </w:rPr>
        <w:t>17</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w:t>
      </w:r>
      <w:r>
        <w:rPr>
          <w:rFonts w:ascii="Times New Roman" w:hAnsi="Times New Roman" w:cs="Times New Roman"/>
          <w:color w:val="000000"/>
          <w:sz w:val="18"/>
          <w:szCs w:val="18"/>
        </w:rPr>
        <w:t>12</w:t>
      </w:r>
      <w:r>
        <w:rPr>
          <w:rFonts w:hint="eastAsia"/>
          <w:color w:val="000000"/>
          <w:sz w:val="18"/>
          <w:szCs w:val="18"/>
        </w:rPr>
        <w:t>日，公司召开第四届董事会</w:t>
      </w:r>
      <w:r>
        <w:rPr>
          <w:rFonts w:ascii="Times New Roman" w:hAnsi="Times New Roman" w:cs="Times New Roman"/>
          <w:color w:val="000000"/>
          <w:sz w:val="18"/>
          <w:szCs w:val="18"/>
        </w:rPr>
        <w:t>2021</w:t>
      </w:r>
      <w:r>
        <w:rPr>
          <w:rFonts w:hint="eastAsia"/>
          <w:color w:val="000000"/>
          <w:sz w:val="18"/>
          <w:szCs w:val="18"/>
        </w:rPr>
        <w:t>年第四次临时会议和第四届监事会第五次会议，审议通过《关于</w:t>
      </w:r>
      <w:r>
        <w:rPr>
          <w:rFonts w:ascii="Times New Roman" w:hAnsi="Times New Roman" w:cs="Times New Roman"/>
          <w:color w:val="000000"/>
          <w:sz w:val="18"/>
          <w:szCs w:val="18"/>
        </w:rPr>
        <w:t>〈</w:t>
      </w:r>
      <w:r>
        <w:rPr>
          <w:rFonts w:hint="eastAsia"/>
          <w:color w:val="000000"/>
          <w:sz w:val="18"/>
          <w:szCs w:val="18"/>
        </w:rPr>
        <w:t>广东翔鹭钨业股份有限公司</w:t>
      </w:r>
      <w:r>
        <w:rPr>
          <w:rFonts w:ascii="Times New Roman" w:hAnsi="Times New Roman" w:cs="Times New Roman"/>
          <w:color w:val="000000"/>
          <w:sz w:val="18"/>
          <w:szCs w:val="18"/>
        </w:rPr>
        <w:t>2021</w:t>
      </w:r>
      <w:r>
        <w:rPr>
          <w:rFonts w:hint="eastAsia"/>
          <w:color w:val="000000"/>
          <w:sz w:val="18"/>
          <w:szCs w:val="18"/>
        </w:rPr>
        <w:t>年限制性股票激励计划（草案）</w:t>
      </w:r>
      <w:r>
        <w:rPr>
          <w:rFonts w:ascii="Times New Roman" w:hAnsi="Times New Roman" w:cs="Times New Roman"/>
          <w:color w:val="000000"/>
          <w:sz w:val="18"/>
          <w:szCs w:val="18"/>
        </w:rPr>
        <w:t>〉</w:t>
      </w:r>
      <w:r>
        <w:rPr>
          <w:rFonts w:hint="eastAsia"/>
          <w:color w:val="000000"/>
          <w:sz w:val="18"/>
          <w:szCs w:val="18"/>
        </w:rPr>
        <w:t>及其摘要的议案》及其相关事项的议案，关联董事周伟平先生作为激励对象回避表决。公司独立董事对此发表了同意的独立意见，律师等中介机构出具相应文件。</w:t>
      </w:r>
      <w:r>
        <w:rPr>
          <w:rFonts w:ascii="Times New Roman" w:hAnsi="Times New Roman" w:cs="Times New Roman"/>
          <w:color w:val="000000"/>
          <w:sz w:val="18"/>
          <w:szCs w:val="18"/>
        </w:rPr>
        <w:t>18</w:t>
      </w:r>
      <w:r>
        <w:rPr>
          <w:rFonts w:hint="eastAsia"/>
          <w:color w:val="000000"/>
          <w:sz w:val="18"/>
          <w:szCs w:val="18"/>
        </w:rPr>
        <w:t>、公司对授予的激励对象名单的姓名和职务在公司内部进行了公示，公示期为</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w:t>
      </w:r>
      <w:r>
        <w:rPr>
          <w:rFonts w:ascii="Times New Roman" w:hAnsi="Times New Roman" w:cs="Times New Roman"/>
          <w:color w:val="000000"/>
          <w:sz w:val="18"/>
          <w:szCs w:val="18"/>
        </w:rPr>
        <w:t>13</w:t>
      </w:r>
      <w:r>
        <w:rPr>
          <w:rFonts w:hint="eastAsia"/>
          <w:color w:val="000000"/>
          <w:sz w:val="18"/>
          <w:szCs w:val="18"/>
        </w:rPr>
        <w:t>日至</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w:t>
      </w:r>
      <w:r>
        <w:rPr>
          <w:rFonts w:ascii="Times New Roman" w:hAnsi="Times New Roman" w:cs="Times New Roman"/>
          <w:color w:val="000000"/>
          <w:sz w:val="18"/>
          <w:szCs w:val="18"/>
        </w:rPr>
        <w:t>23</w:t>
      </w:r>
      <w:r>
        <w:rPr>
          <w:rFonts w:hint="eastAsia"/>
          <w:color w:val="000000"/>
          <w:sz w:val="18"/>
          <w:szCs w:val="18"/>
        </w:rPr>
        <w:t>日。在公示期内，公司未收到关于本次拟激励对象的异议，并于</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w:t>
      </w:r>
      <w:r>
        <w:rPr>
          <w:rFonts w:ascii="Times New Roman" w:hAnsi="Times New Roman" w:cs="Times New Roman"/>
          <w:color w:val="000000"/>
          <w:sz w:val="18"/>
          <w:szCs w:val="18"/>
        </w:rPr>
        <w:t>27</w:t>
      </w:r>
      <w:r>
        <w:rPr>
          <w:rFonts w:hint="eastAsia"/>
          <w:color w:val="000000"/>
          <w:sz w:val="18"/>
          <w:szCs w:val="18"/>
        </w:rPr>
        <w:t>日披露了《监事会关于公司</w:t>
      </w:r>
      <w:r>
        <w:rPr>
          <w:rFonts w:ascii="Times New Roman" w:hAnsi="Times New Roman" w:cs="Times New Roman"/>
          <w:color w:val="000000"/>
          <w:sz w:val="18"/>
          <w:szCs w:val="18"/>
        </w:rPr>
        <w:t>2021</w:t>
      </w:r>
      <w:r>
        <w:rPr>
          <w:rFonts w:hint="eastAsia"/>
          <w:color w:val="000000"/>
          <w:sz w:val="18"/>
          <w:szCs w:val="18"/>
        </w:rPr>
        <w:t>年限制性股票激励计划激励对象名单的审核意见及公示情况说明》。</w:t>
      </w:r>
    </w:p>
    <w:p w:rsidR="00E22F4C" w:rsidRDefault="00E22F4C">
      <w:pPr>
        <w:pStyle w:val="a4"/>
        <w:spacing w:before="0" w:beforeAutospacing="0" w:after="0" w:afterAutospacing="0"/>
        <w:jc w:val="both"/>
        <w:divId w:val="504974932"/>
        <w:rPr>
          <w:sz w:val="18"/>
          <w:szCs w:val="18"/>
        </w:rPr>
      </w:pPr>
      <w:r>
        <w:rPr>
          <w:rFonts w:ascii="Times New Roman" w:hAnsi="Times New Roman" w:cs="Times New Roman"/>
          <w:color w:val="000000"/>
          <w:sz w:val="18"/>
          <w:szCs w:val="18"/>
        </w:rPr>
        <w:lastRenderedPageBreak/>
        <w:t>19</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w:t>
      </w:r>
      <w:r>
        <w:rPr>
          <w:rFonts w:ascii="Times New Roman" w:hAnsi="Times New Roman" w:cs="Times New Roman"/>
          <w:color w:val="000000"/>
          <w:sz w:val="18"/>
          <w:szCs w:val="18"/>
        </w:rPr>
        <w:t>27</w:t>
      </w:r>
      <w:r>
        <w:rPr>
          <w:rFonts w:hint="eastAsia"/>
          <w:color w:val="000000"/>
          <w:sz w:val="18"/>
          <w:szCs w:val="18"/>
        </w:rPr>
        <w:t>日，公司披露了《关于</w:t>
      </w:r>
      <w:r>
        <w:rPr>
          <w:rFonts w:ascii="Times New Roman" w:hAnsi="Times New Roman" w:cs="Times New Roman"/>
          <w:color w:val="000000"/>
          <w:sz w:val="18"/>
          <w:szCs w:val="18"/>
        </w:rPr>
        <w:t>2021</w:t>
      </w:r>
      <w:r>
        <w:rPr>
          <w:rFonts w:hint="eastAsia"/>
          <w:color w:val="000000"/>
          <w:sz w:val="18"/>
          <w:szCs w:val="18"/>
        </w:rPr>
        <w:t>年限制性股票激励计划内幕信息知情人及激励对象买卖公司股票情况的自查报告》，公司对内幕信息知情人在公司本激励计划公告前</w:t>
      </w:r>
      <w:r>
        <w:rPr>
          <w:rFonts w:ascii="Times New Roman" w:hAnsi="Times New Roman" w:cs="Times New Roman"/>
          <w:color w:val="000000"/>
          <w:sz w:val="18"/>
          <w:szCs w:val="18"/>
        </w:rPr>
        <w:t>6</w:t>
      </w:r>
      <w:r>
        <w:rPr>
          <w:rFonts w:hint="eastAsia"/>
          <w:color w:val="000000"/>
          <w:sz w:val="18"/>
          <w:szCs w:val="18"/>
        </w:rPr>
        <w:t>个月内买卖公司股票的情况进行自查，未发现相关内幕信息知情人存在利用与激励计划相关的内幕信息进行股票买卖的行为。</w:t>
      </w:r>
    </w:p>
    <w:p w:rsidR="00E22F4C" w:rsidRDefault="00E22F4C">
      <w:pPr>
        <w:pStyle w:val="a4"/>
        <w:spacing w:before="0" w:beforeAutospacing="0" w:after="0" w:afterAutospacing="0"/>
        <w:jc w:val="both"/>
        <w:divId w:val="504974932"/>
        <w:rPr>
          <w:sz w:val="18"/>
          <w:szCs w:val="18"/>
        </w:rPr>
      </w:pPr>
      <w:r>
        <w:rPr>
          <w:rFonts w:ascii="Times New Roman" w:hAnsi="Times New Roman" w:cs="Times New Roman"/>
          <w:color w:val="000000"/>
          <w:sz w:val="18"/>
          <w:szCs w:val="18"/>
        </w:rPr>
        <w:t>20</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w:t>
      </w:r>
      <w:r>
        <w:rPr>
          <w:rFonts w:ascii="Times New Roman" w:hAnsi="Times New Roman" w:cs="Times New Roman"/>
          <w:color w:val="000000"/>
          <w:sz w:val="18"/>
          <w:szCs w:val="18"/>
        </w:rPr>
        <w:t>29</w:t>
      </w:r>
      <w:r>
        <w:rPr>
          <w:rFonts w:hint="eastAsia"/>
          <w:color w:val="000000"/>
          <w:sz w:val="18"/>
          <w:szCs w:val="18"/>
        </w:rPr>
        <w:t>日，公司召开</w:t>
      </w:r>
      <w:r>
        <w:rPr>
          <w:rFonts w:ascii="Times New Roman" w:hAnsi="Times New Roman" w:cs="Times New Roman"/>
          <w:color w:val="000000"/>
          <w:sz w:val="18"/>
          <w:szCs w:val="18"/>
        </w:rPr>
        <w:t>2021</w:t>
      </w:r>
      <w:r>
        <w:rPr>
          <w:rFonts w:hint="eastAsia"/>
          <w:color w:val="000000"/>
          <w:sz w:val="18"/>
          <w:szCs w:val="18"/>
        </w:rPr>
        <w:t>年第三次临时股东大会，审议通过《关于</w:t>
      </w:r>
      <w:r>
        <w:rPr>
          <w:rFonts w:ascii="Times New Roman" w:hAnsi="Times New Roman" w:cs="Times New Roman"/>
          <w:color w:val="000000"/>
          <w:sz w:val="18"/>
          <w:szCs w:val="18"/>
        </w:rPr>
        <w:t>〈</w:t>
      </w:r>
      <w:r>
        <w:rPr>
          <w:rFonts w:hint="eastAsia"/>
          <w:color w:val="000000"/>
          <w:sz w:val="18"/>
          <w:szCs w:val="18"/>
        </w:rPr>
        <w:t>广东翔鹭钨业股份有限公司</w:t>
      </w:r>
      <w:r>
        <w:rPr>
          <w:rFonts w:ascii="Times New Roman" w:hAnsi="Times New Roman" w:cs="Times New Roman"/>
          <w:color w:val="000000"/>
          <w:sz w:val="18"/>
          <w:szCs w:val="18"/>
        </w:rPr>
        <w:t>2021</w:t>
      </w:r>
      <w:r>
        <w:rPr>
          <w:rFonts w:hint="eastAsia"/>
          <w:color w:val="000000"/>
          <w:sz w:val="18"/>
          <w:szCs w:val="18"/>
        </w:rPr>
        <w:t>年限制性股票激励计划（草案）</w:t>
      </w:r>
      <w:r>
        <w:rPr>
          <w:rFonts w:ascii="Times New Roman" w:hAnsi="Times New Roman" w:cs="Times New Roman"/>
          <w:color w:val="000000"/>
          <w:sz w:val="18"/>
          <w:szCs w:val="18"/>
        </w:rPr>
        <w:t>〉</w:t>
      </w:r>
      <w:r>
        <w:rPr>
          <w:rFonts w:hint="eastAsia"/>
          <w:color w:val="000000"/>
          <w:sz w:val="18"/>
          <w:szCs w:val="18"/>
        </w:rPr>
        <w:t>及其摘要的议案》及其相关事项的议案。</w:t>
      </w:r>
    </w:p>
    <w:p w:rsidR="00E22F4C" w:rsidRDefault="00E22F4C">
      <w:pPr>
        <w:pStyle w:val="a4"/>
        <w:spacing w:before="0" w:beforeAutospacing="0" w:after="0" w:afterAutospacing="0"/>
        <w:jc w:val="both"/>
        <w:divId w:val="504974932"/>
        <w:rPr>
          <w:sz w:val="18"/>
          <w:szCs w:val="18"/>
        </w:rPr>
      </w:pPr>
      <w:r>
        <w:rPr>
          <w:rFonts w:ascii="Times New Roman" w:hAnsi="Times New Roman" w:cs="Times New Roman"/>
          <w:color w:val="000000"/>
          <w:sz w:val="18"/>
          <w:szCs w:val="18"/>
        </w:rPr>
        <w:t>21</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11</w:t>
      </w:r>
      <w:r>
        <w:rPr>
          <w:rFonts w:hint="eastAsia"/>
          <w:color w:val="000000"/>
          <w:sz w:val="18"/>
          <w:szCs w:val="18"/>
        </w:rPr>
        <w:t>月</w:t>
      </w:r>
      <w:r>
        <w:rPr>
          <w:rFonts w:ascii="Times New Roman" w:hAnsi="Times New Roman" w:cs="Times New Roman"/>
          <w:color w:val="000000"/>
          <w:sz w:val="18"/>
          <w:szCs w:val="18"/>
        </w:rPr>
        <w:t>3</w:t>
      </w:r>
      <w:r>
        <w:rPr>
          <w:rFonts w:hint="eastAsia"/>
          <w:color w:val="000000"/>
          <w:sz w:val="18"/>
          <w:szCs w:val="18"/>
        </w:rPr>
        <w:t>日，公司召开第四届董事会</w:t>
      </w:r>
      <w:r>
        <w:rPr>
          <w:rFonts w:ascii="Times New Roman" w:hAnsi="Times New Roman" w:cs="Times New Roman"/>
          <w:color w:val="000000"/>
          <w:sz w:val="18"/>
          <w:szCs w:val="18"/>
        </w:rPr>
        <w:t>2021</w:t>
      </w:r>
      <w:r>
        <w:rPr>
          <w:rFonts w:hint="eastAsia"/>
          <w:color w:val="000000"/>
          <w:sz w:val="18"/>
          <w:szCs w:val="18"/>
        </w:rPr>
        <w:t>年第六次临时会议和第四届监事会第七次会议，审议通过《关于调整公司</w:t>
      </w:r>
      <w:r>
        <w:rPr>
          <w:rFonts w:ascii="Times New Roman" w:hAnsi="Times New Roman" w:cs="Times New Roman"/>
          <w:color w:val="000000"/>
          <w:sz w:val="18"/>
          <w:szCs w:val="18"/>
        </w:rPr>
        <w:t>2021</w:t>
      </w:r>
      <w:r>
        <w:rPr>
          <w:rFonts w:hint="eastAsia"/>
          <w:color w:val="000000"/>
          <w:sz w:val="18"/>
          <w:szCs w:val="18"/>
        </w:rPr>
        <w:t>年限制性股票激励计划相关事项的议案》、《关于向公司</w:t>
      </w:r>
      <w:r>
        <w:rPr>
          <w:rFonts w:ascii="Times New Roman" w:hAnsi="Times New Roman" w:cs="Times New Roman"/>
          <w:color w:val="000000"/>
          <w:sz w:val="18"/>
          <w:szCs w:val="18"/>
        </w:rPr>
        <w:t>2021</w:t>
      </w:r>
      <w:r>
        <w:rPr>
          <w:rFonts w:hint="eastAsia"/>
          <w:color w:val="000000"/>
          <w:sz w:val="18"/>
          <w:szCs w:val="18"/>
        </w:rPr>
        <w:t>年限制性股票激励计划激励对象首次授予限制性股票相关事项的议案》等议案，确定以</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11</w:t>
      </w:r>
      <w:r>
        <w:rPr>
          <w:rFonts w:hint="eastAsia"/>
          <w:color w:val="000000"/>
          <w:sz w:val="18"/>
          <w:szCs w:val="18"/>
        </w:rPr>
        <w:t>月</w:t>
      </w:r>
      <w:r>
        <w:rPr>
          <w:rFonts w:ascii="Times New Roman" w:hAnsi="Times New Roman" w:cs="Times New Roman"/>
          <w:color w:val="000000"/>
          <w:sz w:val="18"/>
          <w:szCs w:val="18"/>
        </w:rPr>
        <w:t>3</w:t>
      </w:r>
      <w:r>
        <w:rPr>
          <w:rFonts w:hint="eastAsia"/>
          <w:color w:val="000000"/>
          <w:sz w:val="18"/>
          <w:szCs w:val="18"/>
        </w:rPr>
        <w:t>日作为激励计划的授予日，向符合条件的</w:t>
      </w:r>
      <w:r>
        <w:rPr>
          <w:rFonts w:ascii="Times New Roman" w:hAnsi="Times New Roman" w:cs="Times New Roman"/>
          <w:color w:val="000000"/>
          <w:sz w:val="18"/>
          <w:szCs w:val="18"/>
        </w:rPr>
        <w:t>116</w:t>
      </w:r>
      <w:r>
        <w:rPr>
          <w:rFonts w:hint="eastAsia"/>
          <w:color w:val="000000"/>
          <w:sz w:val="18"/>
          <w:szCs w:val="18"/>
        </w:rPr>
        <w:t>名激励对象授予</w:t>
      </w:r>
      <w:r>
        <w:rPr>
          <w:rFonts w:ascii="Times New Roman" w:hAnsi="Times New Roman" w:cs="Times New Roman"/>
          <w:color w:val="000000"/>
          <w:sz w:val="18"/>
          <w:szCs w:val="18"/>
        </w:rPr>
        <w:t>467.00</w:t>
      </w:r>
      <w:r>
        <w:rPr>
          <w:rFonts w:hint="eastAsia"/>
          <w:color w:val="000000"/>
          <w:sz w:val="18"/>
          <w:szCs w:val="18"/>
        </w:rPr>
        <w:t>万股限制性股票，关联董事周伟平先生作为激励对象回避表决。公司独立董事对此发表了同意的独立意见，监事会对本次授予限制性股票的激励对象名单进行了核实。</w:t>
      </w:r>
    </w:p>
    <w:p w:rsidR="00E22F4C" w:rsidRDefault="00E22F4C">
      <w:pPr>
        <w:pStyle w:val="a4"/>
        <w:spacing w:before="0" w:beforeAutospacing="0" w:after="0" w:afterAutospacing="0"/>
        <w:jc w:val="both"/>
        <w:divId w:val="504974932"/>
      </w:pPr>
      <w:r>
        <w:rPr>
          <w:rFonts w:hint="eastAsia"/>
          <w:sz w:val="18"/>
          <w:szCs w:val="18"/>
        </w:rPr>
        <w:t>22、2021年11月19日，本次激励计划首次授予的限制性股票在深圳证券交易所上市。公司向116名激励对象授予了467.00万股限制性股票。</w:t>
      </w:r>
    </w:p>
    <w:p w:rsidR="00E22F4C" w:rsidRDefault="00E22F4C">
      <w:pPr>
        <w:pStyle w:val="a4"/>
        <w:spacing w:before="0" w:beforeAutospacing="0" w:after="0" w:afterAutospacing="0"/>
        <w:jc w:val="both"/>
        <w:divId w:val="504974932"/>
      </w:pPr>
      <w:r>
        <w:rPr>
          <w:rFonts w:hint="eastAsia"/>
          <w:color w:val="000000"/>
          <w:sz w:val="18"/>
          <w:szCs w:val="18"/>
        </w:rPr>
        <w:t>23、2022年11月15日，公司召开第四届董事会第三次会议和第四届监事会第十二次会议，审议通过了《关于作废2021年限制性股票激励计划预留限制性股票的议案》，鉴于公司在股东大会审议通过本次《激励计划》后的12个月内无向潜在激励对象授予预留限制性股票的计划，预留权益失效，因此作废预留33.00万股限制性股票。</w:t>
      </w:r>
    </w:p>
    <w:p w:rsidR="00E22F4C" w:rsidRDefault="00E22F4C">
      <w:pPr>
        <w:pStyle w:val="a4"/>
        <w:spacing w:before="0" w:beforeAutospacing="0" w:after="0" w:afterAutospacing="0"/>
        <w:jc w:val="both"/>
        <w:divId w:val="504974932"/>
      </w:pPr>
      <w:r>
        <w:rPr>
          <w:rFonts w:hint="eastAsia"/>
          <w:color w:val="000000"/>
          <w:sz w:val="18"/>
          <w:szCs w:val="18"/>
        </w:rPr>
        <w:t>24、2022年11月15日，公司召开第四届董事会第三次会议和第四届监事会第十二次会议，审议通过了《关于调整2021年限制性股票激励计划限制性股票回购价格及回购注销部分激励对象已获授但尚未解除限售的限制性股票的议案》，鉴于2名激励对象因个人原因离职，公司董事会拟对其已获授但尚未解除限售的40,000股限制性股票进行回购注销，同时，由于2022年5月20日召开的2021年度股东大会审议通过了《关于2021年度利润分配预案的议案》，根据《激励计划》的相关规定，拟对2021年限制性股票激励计划限制性股票回购价格进行调整，回购价格由5.39元/股调整为5.29元/股。并经公司2022年12月1日召开的2022年第三次临时股东大会审议通过。</w:t>
      </w:r>
    </w:p>
    <w:p w:rsidR="00E22F4C" w:rsidRDefault="00E22F4C">
      <w:pPr>
        <w:pStyle w:val="a4"/>
        <w:spacing w:before="0" w:beforeAutospacing="0" w:after="0" w:afterAutospacing="0"/>
        <w:jc w:val="both"/>
        <w:divId w:val="504974932"/>
        <w:rPr>
          <w:sz w:val="18"/>
          <w:szCs w:val="18"/>
        </w:rPr>
      </w:pPr>
      <w:r>
        <w:rPr>
          <w:rFonts w:ascii="Calibri" w:hAnsi="Calibri" w:cs="Calibri"/>
          <w:color w:val="000000"/>
          <w:sz w:val="18"/>
          <w:szCs w:val="18"/>
        </w:rPr>
        <w:t>25</w:t>
      </w:r>
      <w:r>
        <w:rPr>
          <w:rFonts w:hint="eastAsia"/>
          <w:color w:val="000000"/>
          <w:sz w:val="18"/>
          <w:szCs w:val="18"/>
        </w:rPr>
        <w:t>、</w:t>
      </w:r>
      <w:r>
        <w:rPr>
          <w:rFonts w:ascii="Calibri" w:hAnsi="Calibri" w:cs="Calibri"/>
          <w:color w:val="000000"/>
          <w:sz w:val="18"/>
          <w:szCs w:val="18"/>
        </w:rPr>
        <w:t>2022</w:t>
      </w:r>
      <w:r>
        <w:rPr>
          <w:rFonts w:hint="eastAsia"/>
          <w:color w:val="000000"/>
          <w:sz w:val="18"/>
          <w:szCs w:val="18"/>
        </w:rPr>
        <w:t>年</w:t>
      </w:r>
      <w:r>
        <w:rPr>
          <w:rFonts w:ascii="Calibri" w:hAnsi="Calibri" w:cs="Calibri"/>
          <w:color w:val="000000"/>
          <w:sz w:val="18"/>
          <w:szCs w:val="18"/>
        </w:rPr>
        <w:t>11</w:t>
      </w:r>
      <w:r>
        <w:rPr>
          <w:rFonts w:hint="eastAsia"/>
          <w:color w:val="000000"/>
          <w:sz w:val="18"/>
          <w:szCs w:val="18"/>
        </w:rPr>
        <w:t>月</w:t>
      </w:r>
      <w:r>
        <w:rPr>
          <w:rFonts w:ascii="Calibri" w:hAnsi="Calibri" w:cs="Calibri"/>
          <w:color w:val="000000"/>
          <w:sz w:val="18"/>
          <w:szCs w:val="18"/>
        </w:rPr>
        <w:t>15</w:t>
      </w:r>
      <w:r>
        <w:rPr>
          <w:rFonts w:hint="eastAsia"/>
          <w:color w:val="000000"/>
          <w:sz w:val="18"/>
          <w:szCs w:val="18"/>
        </w:rPr>
        <w:t>日，公司召开第四届董事会第三次会议和第四届监事会第十二次会议，审议通过了《关于公司</w:t>
      </w:r>
      <w:r>
        <w:rPr>
          <w:rFonts w:ascii="Calibri" w:hAnsi="Calibri" w:cs="Calibri"/>
          <w:color w:val="000000"/>
          <w:sz w:val="18"/>
          <w:szCs w:val="18"/>
        </w:rPr>
        <w:t>2021</w:t>
      </w:r>
      <w:r>
        <w:rPr>
          <w:rFonts w:hint="eastAsia"/>
          <w:color w:val="000000"/>
          <w:sz w:val="18"/>
          <w:szCs w:val="18"/>
        </w:rPr>
        <w:t>年限制性股票激励计划首次授予部分第一个限售期解除限售条件成就的议案》，董事会及监事会均认为本次激励计划设定的限制性股票第一个限售期解除限售条件已经成就，独立董事、律师对相关事项发表专项意见，同意按照公司第一期限制性股票激励计划相关规定对符合解锁条件的</w:t>
      </w:r>
      <w:r>
        <w:rPr>
          <w:rFonts w:ascii="Calibri" w:hAnsi="Calibri" w:cs="Calibri"/>
          <w:color w:val="000000"/>
          <w:sz w:val="18"/>
          <w:szCs w:val="18"/>
        </w:rPr>
        <w:t>114</w:t>
      </w:r>
      <w:r>
        <w:rPr>
          <w:rFonts w:hint="eastAsia"/>
          <w:color w:val="000000"/>
          <w:sz w:val="18"/>
          <w:szCs w:val="18"/>
        </w:rPr>
        <w:t>名激励对象办理解锁相关事宜。</w:t>
      </w:r>
      <w:r>
        <w:rPr>
          <w:rFonts w:hint="eastAsia"/>
          <w:sz w:val="18"/>
          <w:szCs w:val="18"/>
        </w:rPr>
        <w:t xml:space="preserve"> </w:t>
      </w:r>
    </w:p>
    <w:p w:rsidR="00E22F4C" w:rsidRDefault="00E22F4C">
      <w:pPr>
        <w:pStyle w:val="a4"/>
        <w:spacing w:before="0" w:beforeAutospacing="0" w:after="0" w:afterAutospacing="0"/>
        <w:jc w:val="both"/>
        <w:divId w:val="504974932"/>
        <w:rPr>
          <w:sz w:val="18"/>
          <w:szCs w:val="18"/>
        </w:rPr>
      </w:pPr>
      <w:r>
        <w:rPr>
          <w:rFonts w:hint="eastAsia"/>
          <w:color w:val="000000"/>
          <w:sz w:val="18"/>
          <w:szCs w:val="18"/>
        </w:rPr>
        <w:t>26、截至2023年2月20日，上述限制性股票40,000股已在中国证券登记结算有限责任公司深圳分公司完成回购注销手续。</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公司董事、高级管理人员获得的股权激励情况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高级管理人员的考评机制及激励情况</w:t>
      </w:r>
    </w:p>
    <w:p w:rsidR="00E22F4C" w:rsidRDefault="00E22F4C">
      <w:pPr>
        <w:pStyle w:val="a4"/>
        <w:spacing w:before="0" w:beforeAutospacing="0" w:after="0" w:afterAutospacing="0"/>
        <w:jc w:val="both"/>
        <w:divId w:val="1996838869"/>
        <w:rPr>
          <w:sz w:val="18"/>
          <w:szCs w:val="18"/>
        </w:rPr>
      </w:pPr>
      <w:r>
        <w:rPr>
          <w:rFonts w:hint="eastAsia"/>
          <w:color w:val="000000"/>
          <w:sz w:val="18"/>
          <w:szCs w:val="18"/>
        </w:rPr>
        <w:t>（</w:t>
      </w:r>
      <w:r>
        <w:rPr>
          <w:rFonts w:ascii="Times New Roman" w:hAnsi="Times New Roman" w:cs="Times New Roman"/>
          <w:color w:val="000000"/>
          <w:sz w:val="18"/>
          <w:szCs w:val="18"/>
        </w:rPr>
        <w:t>1</w:t>
      </w:r>
      <w:r>
        <w:rPr>
          <w:rFonts w:hint="eastAsia"/>
          <w:color w:val="000000"/>
          <w:sz w:val="18"/>
          <w:szCs w:val="18"/>
        </w:rPr>
        <w:t>）激励对象为公司董事和高级管理人员的，其在任职期间每年转让的股份不得超过其所持有本公司股份总数的</w:t>
      </w:r>
      <w:r>
        <w:rPr>
          <w:rFonts w:ascii="Times New Roman" w:hAnsi="Times New Roman" w:cs="Times New Roman"/>
          <w:color w:val="000000"/>
          <w:sz w:val="18"/>
          <w:szCs w:val="18"/>
        </w:rPr>
        <w:t>25%</w:t>
      </w:r>
      <w:r>
        <w:rPr>
          <w:rFonts w:hint="eastAsia"/>
          <w:color w:val="000000"/>
          <w:sz w:val="18"/>
          <w:szCs w:val="18"/>
        </w:rPr>
        <w:t>；其在任期届满前离职的，应当在其就任时确定的任期内和任期届满后</w:t>
      </w:r>
      <w:r>
        <w:rPr>
          <w:rFonts w:ascii="Times New Roman" w:hAnsi="Times New Roman" w:cs="Times New Roman"/>
          <w:color w:val="000000"/>
          <w:sz w:val="18"/>
          <w:szCs w:val="18"/>
        </w:rPr>
        <w:t>6</w:t>
      </w:r>
      <w:r>
        <w:rPr>
          <w:rFonts w:hint="eastAsia"/>
          <w:color w:val="000000"/>
          <w:sz w:val="18"/>
          <w:szCs w:val="18"/>
        </w:rPr>
        <w:t>个月内，继续遵守每年转让的股份不得超过其所持有本公司股份总数的</w:t>
      </w:r>
      <w:r>
        <w:rPr>
          <w:rFonts w:ascii="Times New Roman" w:hAnsi="Times New Roman" w:cs="Times New Roman"/>
          <w:color w:val="000000"/>
          <w:sz w:val="18"/>
          <w:szCs w:val="18"/>
        </w:rPr>
        <w:t>25%</w:t>
      </w:r>
      <w:r>
        <w:rPr>
          <w:rFonts w:hint="eastAsia"/>
          <w:color w:val="000000"/>
          <w:sz w:val="18"/>
          <w:szCs w:val="18"/>
        </w:rPr>
        <w:t>的规定。上述人员离职后半年内，不得转让其所持有的本公司股份。</w:t>
      </w:r>
    </w:p>
    <w:p w:rsidR="00E22F4C" w:rsidRDefault="00E22F4C">
      <w:pPr>
        <w:pStyle w:val="a4"/>
        <w:spacing w:before="0" w:beforeAutospacing="0" w:after="0" w:afterAutospacing="0"/>
        <w:jc w:val="both"/>
        <w:divId w:val="1996838869"/>
        <w:rPr>
          <w:sz w:val="18"/>
          <w:szCs w:val="18"/>
        </w:rPr>
      </w:pPr>
      <w:r>
        <w:rPr>
          <w:rFonts w:hint="eastAsia"/>
          <w:color w:val="000000"/>
          <w:sz w:val="18"/>
          <w:szCs w:val="18"/>
        </w:rPr>
        <w:t>（</w:t>
      </w:r>
      <w:r>
        <w:rPr>
          <w:rFonts w:ascii="Times New Roman" w:hAnsi="Times New Roman" w:cs="Times New Roman"/>
          <w:color w:val="000000"/>
          <w:sz w:val="18"/>
          <w:szCs w:val="18"/>
        </w:rPr>
        <w:t>2</w:t>
      </w:r>
      <w:r>
        <w:rPr>
          <w:rFonts w:hint="eastAsia"/>
          <w:color w:val="000000"/>
          <w:sz w:val="18"/>
          <w:szCs w:val="18"/>
        </w:rPr>
        <w:t>）激励对象为公司董事、高级管理人员的，将其持有的本公司股票在买入后</w:t>
      </w:r>
      <w:r>
        <w:rPr>
          <w:rFonts w:ascii="Times New Roman" w:hAnsi="Times New Roman" w:cs="Times New Roman"/>
          <w:color w:val="000000"/>
          <w:sz w:val="18"/>
          <w:szCs w:val="18"/>
        </w:rPr>
        <w:t>6</w:t>
      </w:r>
      <w:r>
        <w:rPr>
          <w:rFonts w:hint="eastAsia"/>
          <w:color w:val="000000"/>
          <w:sz w:val="18"/>
          <w:szCs w:val="18"/>
        </w:rPr>
        <w:t>个月内卖出，或者在卖出后</w:t>
      </w:r>
      <w:r>
        <w:rPr>
          <w:rFonts w:ascii="Times New Roman" w:hAnsi="Times New Roman" w:cs="Times New Roman"/>
          <w:color w:val="000000"/>
          <w:sz w:val="18"/>
          <w:szCs w:val="18"/>
        </w:rPr>
        <w:t>6</w:t>
      </w:r>
      <w:r>
        <w:rPr>
          <w:rFonts w:hint="eastAsia"/>
          <w:color w:val="000000"/>
          <w:sz w:val="18"/>
          <w:szCs w:val="18"/>
        </w:rPr>
        <w:t>个月内又买入，由此所得收益归本公司所有，本公司董事会将收回其所得收益。</w:t>
      </w:r>
    </w:p>
    <w:p w:rsidR="00E22F4C" w:rsidRDefault="00E22F4C">
      <w:pPr>
        <w:pStyle w:val="a4"/>
        <w:spacing w:before="0" w:beforeAutospacing="0" w:after="0" w:afterAutospacing="0"/>
        <w:jc w:val="both"/>
        <w:divId w:val="1996838869"/>
        <w:rPr>
          <w:sz w:val="18"/>
          <w:szCs w:val="18"/>
        </w:rPr>
      </w:pPr>
      <w:r>
        <w:rPr>
          <w:rFonts w:hint="eastAsia"/>
          <w:color w:val="000000"/>
          <w:sz w:val="18"/>
          <w:szCs w:val="18"/>
        </w:rPr>
        <w:t>（</w:t>
      </w:r>
      <w:r>
        <w:rPr>
          <w:rFonts w:ascii="Times New Roman" w:hAnsi="Times New Roman" w:cs="Times New Roman"/>
          <w:color w:val="000000"/>
          <w:sz w:val="18"/>
          <w:szCs w:val="18"/>
        </w:rPr>
        <w:t>3</w:t>
      </w:r>
      <w:r>
        <w:rPr>
          <w:rFonts w:hint="eastAsia"/>
          <w:color w:val="000000"/>
          <w:sz w:val="18"/>
          <w:szCs w:val="18"/>
        </w:rPr>
        <w:t>）在本计划的有效期内，如果《公司法》、《证券法》等相关法律、法规、规范性文件和《公司章程》中对公司董事和高级管理人员持有股份转让的有关规定发生了变化，则这部分激励对象转让其所持有的公司股票应当在转让时符合修改后的《公司法》、《证券法》等相关法律、法规、规范性文件和《公司章程》的规定。</w:t>
      </w:r>
    </w:p>
    <w:p w:rsidR="00E22F4C" w:rsidRDefault="00381575">
      <w:pPr>
        <w:pStyle w:val="3"/>
        <w:spacing w:line="280" w:lineRule="exact"/>
        <w:jc w:val="left"/>
        <w:rPr>
          <w:rFonts w:ascii="宋体" w:hAnsi="宋体" w:cs="宋体"/>
          <w:b/>
          <w:bCs/>
        </w:rPr>
      </w:pPr>
      <w:bookmarkStart w:id="80" w:name="_Toc988969"/>
      <w:r>
        <w:rPr>
          <w:rFonts w:ascii="宋体" w:hAnsi="宋体" w:cs="宋体"/>
          <w:b/>
          <w:bCs/>
        </w:rPr>
        <w:t>2、员工持股计划的实施情况</w:t>
      </w:r>
      <w:bookmarkEnd w:id="8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81" w:name="_Toc988970"/>
      <w:r>
        <w:rPr>
          <w:rFonts w:ascii="宋体" w:hAnsi="宋体" w:cs="宋体"/>
          <w:b/>
          <w:bCs/>
        </w:rPr>
        <w:lastRenderedPageBreak/>
        <w:t>3、其他员工激励措施</w:t>
      </w:r>
      <w:bookmarkEnd w:id="8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82" w:name="_Toc988971"/>
      <w:r>
        <w:rPr>
          <w:rFonts w:ascii="宋体" w:eastAsia="宋体" w:hAnsi="宋体" w:cs="宋体"/>
          <w:b/>
          <w:bCs/>
          <w:sz w:val="24"/>
          <w:szCs w:val="24"/>
        </w:rPr>
        <w:t>十二、报告期内的内部控制制度建设及实施情况</w:t>
      </w:r>
      <w:bookmarkEnd w:id="82"/>
    </w:p>
    <w:p w:rsidR="00E22F4C" w:rsidRDefault="00381575">
      <w:pPr>
        <w:pStyle w:val="3"/>
        <w:spacing w:line="280" w:lineRule="exact"/>
        <w:jc w:val="left"/>
        <w:rPr>
          <w:rFonts w:ascii="宋体" w:hAnsi="宋体" w:cs="宋体"/>
          <w:b/>
          <w:bCs/>
        </w:rPr>
      </w:pPr>
      <w:bookmarkStart w:id="83" w:name="_Toc988972"/>
      <w:r>
        <w:rPr>
          <w:rFonts w:ascii="宋体" w:hAnsi="宋体" w:cs="宋体"/>
          <w:b/>
          <w:bCs/>
        </w:rPr>
        <w:t>1、内部控制建设及实施情况</w:t>
      </w:r>
      <w:bookmarkEnd w:id="83"/>
    </w:p>
    <w:p w:rsidR="00E22F4C" w:rsidRDefault="00E22F4C">
      <w:pPr>
        <w:pStyle w:val="a4"/>
        <w:spacing w:before="0" w:beforeAutospacing="0" w:after="0" w:afterAutospacing="0"/>
        <w:divId w:val="1288007804"/>
        <w:rPr>
          <w:sz w:val="18"/>
          <w:szCs w:val="18"/>
        </w:rPr>
      </w:pPr>
      <w:r>
        <w:rPr>
          <w:rFonts w:hint="eastAsia"/>
          <w:sz w:val="18"/>
          <w:szCs w:val="18"/>
        </w:rPr>
        <w:t>   报告期内，公司按照《企业内部控制基本规范》及其配套指引的规定和其他内部控制监管要求，在所有重大事项方面建立了有效的内部控制制度，并能够贯彻落实执行，在公司经营管理各个关键环节、财务报告、信息披露等方面发挥了较好的管理控制作用，为公司各项业务的正常运行和经营风险的有效控制提供了有力保障，对编制真实、公允的财务报表提供了合理的保证。</w:t>
      </w:r>
    </w:p>
    <w:p w:rsidR="00E22F4C" w:rsidRDefault="00381575">
      <w:pPr>
        <w:pStyle w:val="3"/>
        <w:spacing w:line="280" w:lineRule="exact"/>
        <w:jc w:val="left"/>
        <w:rPr>
          <w:rFonts w:ascii="宋体" w:hAnsi="宋体" w:cs="宋体"/>
          <w:b/>
          <w:bCs/>
        </w:rPr>
      </w:pPr>
      <w:bookmarkStart w:id="84" w:name="_Toc988973"/>
      <w:r>
        <w:rPr>
          <w:rFonts w:ascii="宋体" w:hAnsi="宋体" w:cs="宋体"/>
          <w:b/>
          <w:bCs/>
        </w:rPr>
        <w:t>2、报告期内发现的内部控制重大缺陷的具体情况</w:t>
      </w:r>
      <w:bookmarkEnd w:id="8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pStyle w:val="2"/>
        <w:spacing w:before="300" w:after="300" w:line="320" w:lineRule="exact"/>
        <w:rPr>
          <w:rFonts w:ascii="宋体" w:eastAsia="宋体" w:hAnsi="宋体" w:cs="宋体"/>
          <w:b/>
          <w:bCs/>
          <w:sz w:val="24"/>
          <w:szCs w:val="24"/>
        </w:rPr>
      </w:pPr>
      <w:bookmarkStart w:id="85" w:name="_Toc988974"/>
      <w:r>
        <w:rPr>
          <w:rFonts w:ascii="宋体" w:eastAsia="宋体" w:hAnsi="宋体" w:cs="宋体"/>
          <w:b/>
          <w:bCs/>
          <w:sz w:val="24"/>
          <w:szCs w:val="24"/>
        </w:rPr>
        <w:t>十三、公司报告期内对子公司的管理控制情况</w:t>
      </w:r>
      <w:bookmarkEnd w:id="85"/>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整合计划</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整合进展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整合中遇到的问题</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已采取的解决措施</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解决进展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后续解决计划</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bl>
    <w:p w:rsidR="00E22F4C" w:rsidRDefault="00381575">
      <w:pPr>
        <w:pStyle w:val="2"/>
        <w:spacing w:before="300" w:after="300" w:line="320" w:lineRule="exact"/>
        <w:rPr>
          <w:rFonts w:ascii="宋体" w:eastAsia="宋体" w:hAnsi="宋体" w:cs="宋体"/>
          <w:b/>
          <w:bCs/>
          <w:sz w:val="24"/>
          <w:szCs w:val="24"/>
        </w:rPr>
      </w:pPr>
      <w:bookmarkStart w:id="86" w:name="_Toc988975"/>
      <w:r>
        <w:rPr>
          <w:rFonts w:ascii="宋体" w:eastAsia="宋体" w:hAnsi="宋体" w:cs="宋体"/>
          <w:b/>
          <w:bCs/>
          <w:sz w:val="24"/>
          <w:szCs w:val="24"/>
        </w:rPr>
        <w:t>十四、内部控制自我评价报告或内部控制审计报告</w:t>
      </w:r>
      <w:bookmarkEnd w:id="86"/>
    </w:p>
    <w:p w:rsidR="00E22F4C" w:rsidRDefault="00381575">
      <w:pPr>
        <w:pStyle w:val="3"/>
        <w:spacing w:line="280" w:lineRule="exact"/>
        <w:jc w:val="left"/>
        <w:rPr>
          <w:rFonts w:ascii="宋体" w:hAnsi="宋体" w:cs="宋体"/>
          <w:b/>
          <w:bCs/>
        </w:rPr>
      </w:pPr>
      <w:bookmarkStart w:id="87" w:name="_Toc988976"/>
      <w:r>
        <w:rPr>
          <w:rFonts w:ascii="宋体" w:hAnsi="宋体" w:cs="宋体"/>
          <w:b/>
          <w:bCs/>
        </w:rPr>
        <w:t>1、内控自我评价报告</w:t>
      </w:r>
      <w:bookmarkEnd w:id="87"/>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内部控制评价报告全文披露日期</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2023年04月21日</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内部控制评价报告全文披露索引</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详细内容请见与本公告同日在巨潮资讯网( www.cninfo.com.cn)上披露的《公司2022年度内部控制自我评价报告》。</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纳入评价范围单位资产总额占公司合并财务报表资产总额的比例</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纳入评价范围单位营业收入占公司合并财务报表营业收入的比例</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E22F4C">
        <w:trPr>
          <w:trHeight w:val="240"/>
        </w:trPr>
        <w:tc>
          <w:tcPr>
            <w:tcW w:w="963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缺陷认定标准</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财务报告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非财务报告</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定性标准</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确定的财务报告内部控制缺陷评价的定性标准如下：1财务报告重大缺陷的迹象包括：①公司董事、监事和高级管理人员的舞弊行为；②公司更正已公布的财务报告；③注册会计师发现的却未被公司内部控制识别的当期财务报告中的重大错报；④董事会审计委员会和审计部门对公司的对外财务报告和财务报告内部控制监督无效。2财务报告重要缺陷的迹象包括：①未依照公认会计准则选择和应用会计政策；②未建立反舞弊程序和控制措施；③对于非常规或特殊交易的财务处理没有建立相应的控制机制</w:t>
            </w:r>
            <w:r>
              <w:rPr>
                <w:rFonts w:ascii="宋体" w:eastAsia="宋体" w:hAnsi="宋体" w:cs="宋体"/>
                <w:sz w:val="18"/>
                <w:szCs w:val="18"/>
              </w:rPr>
              <w:lastRenderedPageBreak/>
              <w:t>或没有实施且没有相应的补偿性控制；④对于期末财务报告过程的控制存在一项或多项缺陷且不能合理保证编制的财务报表达到真实、完整的目标。3一般缺陷是指除上述重大缺陷、重要缺陷之外的其他控制缺陷。</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公司确定的非财务报告内部控制缺陷评价的定性标准如下：非财务报告缺陷认定主要以缺陷对业务流程有效性的影响程度、发生的可能性作判定。A、如果缺陷发生的可能性较小，会降低工作效率或效果、或加大效果的不确定性、或使之偏离预期目标为一般缺陷；B、如果缺陷发生的可能性较高，会显著降低工作效率或效果、或显著加大效果的不确定性、或使之显著偏离预期目标为重要缺陷；C、如果缺陷发生的可能性高，会严重降低工作效率或效果、或严重加大效果的不确定性、或使之严重偏离预期目标为</w:t>
            </w:r>
            <w:r>
              <w:rPr>
                <w:rFonts w:ascii="宋体" w:eastAsia="宋体" w:hAnsi="宋体" w:cs="宋体"/>
                <w:sz w:val="18"/>
                <w:szCs w:val="18"/>
              </w:rPr>
              <w:lastRenderedPageBreak/>
              <w:t>重大缺陷。</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定量标准</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定量标准以营业收入、资产总额作为衡量指标。内部控制缺陷可能导致或导致的损失与利润表相关的，以营业收入指标衡量。如果该缺陷单独或连同其他缺陷可能导致的财务报告错报金额小于等于营业收入的1%，则认定为一般缺陷；如果超过营业收入的1%但小于等于2%，则为重要缺陷；如果超过营业收入的2%，则认定为重大缺陷。内部控制缺陷可能导致或导致的损失与资产管理相关的，以资产总额指标衡量。如果该缺陷单独或连同其他缺陷可能导致的财务报告错报金额小于等于资产总额的0.5%，则认定为一般缺陷；如果超过资产总额的0.5%但小于等于1%认定为重要缺陷；如果超过资产总额1%，则认定为重大缺陷。</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公司确定的非财务报告内部控制缺陷评价的定量标准如下：非财务报告内部控制缺陷评价的定量标准参照财务报告内部控制缺陷评价的定量标准执行。</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财务报告重大缺陷数量（个）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非财务报告重大缺陷数量（个）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财务报告重要缺陷数量（个）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非财务报告重要缺陷数量（个）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bl>
    <w:p w:rsidR="00E22F4C" w:rsidRDefault="00381575">
      <w:pPr>
        <w:pStyle w:val="3"/>
        <w:spacing w:line="280" w:lineRule="exact"/>
        <w:jc w:val="left"/>
        <w:rPr>
          <w:rFonts w:ascii="宋体" w:hAnsi="宋体" w:cs="宋体"/>
          <w:b/>
          <w:bCs/>
        </w:rPr>
      </w:pPr>
      <w:bookmarkStart w:id="88" w:name="_Toc988977"/>
      <w:r>
        <w:rPr>
          <w:rFonts w:ascii="宋体" w:hAnsi="宋体" w:cs="宋体"/>
          <w:b/>
          <w:bCs/>
        </w:rPr>
        <w:t>2、内部控制审计报告</w:t>
      </w:r>
      <w:bookmarkEnd w:id="8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内部控制审计报告中的审议意见段</w:t>
            </w:r>
          </w:p>
        </w:tc>
      </w:tr>
      <w:tr w:rsidR="00E22F4C">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我们认为，翔鹭钨业于2022年12月31日按照《企业内部控制基本规范》和相关规定在所有重大方面保持有效的财务报告内部控制。</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内控审计报告披露情况</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披露</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内部控制审计报告全文披露日期</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2023年04月21日</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内部控制审计报告全文披露索引</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巨潮资讯网（www.cninfo.com.cn）《广东翔鹭钨业股份有限公司内部控制审计报告》</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内控审计报告意见类型</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标准无保留意见</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非财务报告是否存在重大缺陷</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会计师事务所是否出具非标准意见的内部控制审计报告</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会计师事务所出具的内部控制审计报告与董事会的自我评价报告意见是否一致</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rsidR="00E22F4C" w:rsidRDefault="00381575">
      <w:pPr>
        <w:pStyle w:val="2"/>
        <w:spacing w:before="300" w:after="300" w:line="320" w:lineRule="exact"/>
        <w:rPr>
          <w:rFonts w:ascii="宋体" w:eastAsia="宋体" w:hAnsi="宋体" w:cs="宋体"/>
          <w:b/>
          <w:bCs/>
          <w:sz w:val="24"/>
          <w:szCs w:val="24"/>
        </w:rPr>
      </w:pPr>
      <w:bookmarkStart w:id="89" w:name="_Toc988978"/>
      <w:r>
        <w:rPr>
          <w:rFonts w:ascii="宋体" w:eastAsia="宋体" w:hAnsi="宋体" w:cs="宋体"/>
          <w:b/>
          <w:bCs/>
          <w:sz w:val="24"/>
          <w:szCs w:val="24"/>
        </w:rPr>
        <w:t>十五、上市公司治理专项行动自查问题整改情况</w:t>
      </w:r>
      <w:bookmarkEnd w:id="89"/>
    </w:p>
    <w:p w:rsidR="00E22F4C" w:rsidRDefault="00E22F4C">
      <w:pPr>
        <w:pStyle w:val="a4"/>
        <w:spacing w:before="0" w:beforeAutospacing="0" w:after="0" w:afterAutospacing="0"/>
        <w:divId w:val="2099669288"/>
        <w:rPr>
          <w:sz w:val="18"/>
          <w:szCs w:val="18"/>
        </w:rPr>
      </w:pPr>
      <w:r>
        <w:rPr>
          <w:rFonts w:hint="eastAsia"/>
          <w:color w:val="000000"/>
          <w:sz w:val="18"/>
          <w:szCs w:val="18"/>
        </w:rPr>
        <w:t>根据广东证监局《关于做好上市公司治理专项行动自查自纠工作的通知》（广东证监发</w:t>
      </w:r>
      <w:r>
        <w:rPr>
          <w:rFonts w:ascii="Times New Roman" w:hAnsi="Times New Roman" w:cs="Times New Roman"/>
          <w:color w:val="000000"/>
          <w:sz w:val="18"/>
          <w:szCs w:val="18"/>
        </w:rPr>
        <w:t>[2020]156</w:t>
      </w:r>
      <w:r>
        <w:rPr>
          <w:rFonts w:hint="eastAsia"/>
          <w:color w:val="000000"/>
          <w:sz w:val="18"/>
          <w:szCs w:val="18"/>
        </w:rPr>
        <w:t>号）的要求，公司严格对照《公司法》《证券法》《上市公司治理准则》等有关法律法规，以及《公司章程》等内部规章制度，对照《上市公</w:t>
      </w:r>
      <w:r>
        <w:rPr>
          <w:rFonts w:hint="eastAsia"/>
          <w:color w:val="000000"/>
          <w:sz w:val="18"/>
          <w:szCs w:val="18"/>
        </w:rPr>
        <w:lastRenderedPageBreak/>
        <w:t>司治理专项自查清单》进行了自查，公司治理结构的实际情况基本符合中国证监会发布的有关上市公司治理规范性文件的要求。</w:t>
      </w:r>
    </w:p>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90" w:name="_Toc988979"/>
      <w:r>
        <w:rPr>
          <w:rFonts w:ascii="宋体" w:eastAsia="宋体" w:hAnsi="宋体" w:cs="宋体"/>
          <w:b/>
          <w:bCs/>
          <w:sz w:val="32"/>
          <w:szCs w:val="32"/>
        </w:rPr>
        <w:lastRenderedPageBreak/>
        <w:t>第五节 环境和社会责任</w:t>
      </w:r>
      <w:bookmarkEnd w:id="90"/>
    </w:p>
    <w:p w:rsidR="00E22F4C" w:rsidRDefault="00381575">
      <w:pPr>
        <w:pStyle w:val="2"/>
        <w:spacing w:before="300" w:after="300" w:line="320" w:lineRule="exact"/>
        <w:rPr>
          <w:rFonts w:ascii="宋体" w:eastAsia="宋体" w:hAnsi="宋体" w:cs="宋体"/>
          <w:b/>
          <w:bCs/>
          <w:sz w:val="24"/>
          <w:szCs w:val="24"/>
        </w:rPr>
      </w:pPr>
      <w:bookmarkStart w:id="91" w:name="_Toc988980"/>
      <w:r>
        <w:rPr>
          <w:rFonts w:ascii="宋体" w:eastAsia="宋体" w:hAnsi="宋体" w:cs="宋体"/>
          <w:b/>
          <w:bCs/>
          <w:sz w:val="24"/>
          <w:szCs w:val="24"/>
        </w:rPr>
        <w:t>一、重大环保问题</w:t>
      </w:r>
      <w:bookmarkEnd w:id="9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上市公司及其子公司是否属于环境保护部门公布的重点排污单位</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环境保护相关政策和行业标准</w:t>
      </w:r>
    </w:p>
    <w:p w:rsidR="00E22F4C" w:rsidRDefault="00E22F4C">
      <w:pPr>
        <w:pStyle w:val="a4"/>
        <w:spacing w:before="0" w:beforeAutospacing="0" w:after="0" w:afterAutospacing="0"/>
        <w:ind w:firstLine="360"/>
        <w:divId w:val="1261252363"/>
        <w:rPr>
          <w:rFonts w:ascii="Calibri" w:hAnsi="Calibri" w:cs="Calibri"/>
          <w:sz w:val="21"/>
          <w:szCs w:val="21"/>
        </w:rPr>
      </w:pPr>
      <w:r>
        <w:rPr>
          <w:rFonts w:cs="Calibri" w:hint="eastAsia"/>
          <w:sz w:val="18"/>
          <w:szCs w:val="18"/>
        </w:rPr>
        <w:t>公司废水排放执行《广东省水污染物排放限值》（DB44/26-2001）限值、废气排放执行《大气污染物排放限值》（DB44/27-2001）和《恶臭污染物排放标准》（GB14554-93）限值；锅炉废气执行《锅炉大气污染物排放标准》（DB44/765-2019）限值；油烟废气执行《饮食业油烟排放标准》（GB18483-2001）限值。</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环境保护行政许可情况</w:t>
      </w:r>
    </w:p>
    <w:p w:rsidR="00E22F4C" w:rsidRDefault="00E22F4C">
      <w:pPr>
        <w:pStyle w:val="a4"/>
        <w:spacing w:before="0" w:beforeAutospacing="0" w:after="0" w:afterAutospacing="0"/>
        <w:ind w:firstLine="360"/>
        <w:divId w:val="1145245365"/>
        <w:rPr>
          <w:rFonts w:ascii="Calibri" w:hAnsi="Calibri" w:cs="Calibri"/>
          <w:sz w:val="21"/>
          <w:szCs w:val="21"/>
        </w:rPr>
      </w:pPr>
      <w:r>
        <w:rPr>
          <w:rFonts w:ascii="Calibri" w:hAnsi="Calibri" w:cs="Calibri"/>
          <w:sz w:val="18"/>
          <w:szCs w:val="18"/>
        </w:rPr>
        <w:t> </w:t>
      </w:r>
      <w:r>
        <w:rPr>
          <w:rFonts w:cs="Calibri" w:hint="eastAsia"/>
          <w:sz w:val="18"/>
          <w:szCs w:val="18"/>
        </w:rPr>
        <w:t>公司所有新、改、扩建项目均已经过投资主管部门的核准或备案，符合国家产业政策总体规划的要求，并严格执行了建设项目环保“三同时”手续，开展了相关环境影响评价。公司通过了 ISO14001 环境管理体系认证，建立健全了各项环保制度和环境突发事件应急预案；公司《排放污染污许可证》证号：914451002823643033001V；各项污染物达标排放，积极履行了企业义务，承担了社会责任。</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行业排放标准及生产经营活动中涉及的污染物排放的具体情况</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7"/>
        <w:gridCol w:w="877"/>
        <w:gridCol w:w="877"/>
        <w:gridCol w:w="876"/>
        <w:gridCol w:w="876"/>
        <w:gridCol w:w="876"/>
        <w:gridCol w:w="876"/>
        <w:gridCol w:w="876"/>
        <w:gridCol w:w="876"/>
        <w:gridCol w:w="876"/>
        <w:gridCol w:w="876"/>
      </w:tblGrid>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公司或子公司名称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主要污染物及特征污染物的种类</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主要污染物及特征污染物的名称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排放方式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排放口数量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排放口分布情况</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排放浓度/强度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执行的污染物排放标准</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排放总量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核定的排放总量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超标排放情况</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废水</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COD</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连续</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排放</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废水总排放口</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9.245</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90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4.3413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21.23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废水</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氨氮</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连续</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排放</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废水总排放口</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0.571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0.2897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2.17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废气</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二氧化硫</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间歇</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排放</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废气排放口</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3.25</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0.042</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0.066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废气</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氮氧化物</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间歇</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排放</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废气排放口</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42.1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120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0.552</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废气</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颗粒物</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间歇</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排放</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废气排放口</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0.029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对污染物的处理</w:t>
      </w:r>
    </w:p>
    <w:tbl>
      <w:tblPr>
        <w:tblW w:w="9404" w:type="dxa"/>
        <w:tblCellMar>
          <w:top w:w="15" w:type="dxa"/>
          <w:left w:w="15" w:type="dxa"/>
          <w:bottom w:w="15" w:type="dxa"/>
          <w:right w:w="15" w:type="dxa"/>
        </w:tblCellMar>
        <w:tblLook w:val="04A0"/>
      </w:tblPr>
      <w:tblGrid>
        <w:gridCol w:w="924"/>
        <w:gridCol w:w="1056"/>
        <w:gridCol w:w="2321"/>
        <w:gridCol w:w="1387"/>
        <w:gridCol w:w="1202"/>
        <w:gridCol w:w="1000"/>
        <w:gridCol w:w="1514"/>
      </w:tblGrid>
      <w:tr w:rsidR="00E22F4C">
        <w:trPr>
          <w:divId w:val="2019892162"/>
          <w:trHeight w:val="1014"/>
        </w:trPr>
        <w:tc>
          <w:tcPr>
            <w:tcW w:w="92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9" w:beforeAutospacing="0" w:line="312" w:lineRule="atLeast"/>
              <w:ind w:left="189" w:right="180"/>
              <w:jc w:val="both"/>
            </w:pPr>
            <w:r>
              <w:rPr>
                <w:rStyle w:val="a5"/>
                <w:rFonts w:hint="eastAsia"/>
                <w:sz w:val="18"/>
                <w:szCs w:val="18"/>
              </w:rPr>
              <w:t>公司或子公司名称</w:t>
            </w:r>
          </w:p>
        </w:tc>
        <w:tc>
          <w:tcPr>
            <w:tcW w:w="1056"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pPr>
            <w:r>
              <w:rPr>
                <w:rStyle w:val="a5"/>
                <w:rFonts w:hint="eastAsia"/>
                <w:sz w:val="18"/>
                <w:szCs w:val="18"/>
              </w:rPr>
              <w:t> </w:t>
            </w:r>
          </w:p>
          <w:p w:rsidR="00E22F4C" w:rsidRDefault="00E22F4C">
            <w:pPr>
              <w:pStyle w:val="15"/>
              <w:spacing w:before="160" w:beforeAutospacing="0"/>
              <w:ind w:left="165"/>
            </w:pPr>
            <w:r>
              <w:rPr>
                <w:rStyle w:val="a5"/>
                <w:rFonts w:hint="eastAsia"/>
                <w:sz w:val="18"/>
                <w:szCs w:val="18"/>
              </w:rPr>
              <w:t>设施类别</w:t>
            </w:r>
          </w:p>
        </w:tc>
        <w:tc>
          <w:tcPr>
            <w:tcW w:w="2321"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pPr>
            <w:r>
              <w:rPr>
                <w:rStyle w:val="a5"/>
                <w:rFonts w:hint="eastAsia"/>
                <w:sz w:val="18"/>
                <w:szCs w:val="18"/>
              </w:rPr>
              <w:t> </w:t>
            </w:r>
          </w:p>
          <w:p w:rsidR="00E22F4C" w:rsidRDefault="00E22F4C">
            <w:pPr>
              <w:pStyle w:val="15"/>
              <w:spacing w:before="160" w:beforeAutospacing="0"/>
              <w:ind w:left="410"/>
            </w:pPr>
            <w:r>
              <w:rPr>
                <w:rStyle w:val="a5"/>
                <w:rFonts w:hint="eastAsia"/>
                <w:sz w:val="18"/>
                <w:szCs w:val="18"/>
              </w:rPr>
              <w:t>防治污染设施名称</w:t>
            </w:r>
          </w:p>
        </w:tc>
        <w:tc>
          <w:tcPr>
            <w:tcW w:w="1387"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pPr>
            <w:r>
              <w:rPr>
                <w:rStyle w:val="a5"/>
                <w:rFonts w:hint="eastAsia"/>
                <w:sz w:val="18"/>
                <w:szCs w:val="18"/>
              </w:rPr>
              <w:t> </w:t>
            </w:r>
          </w:p>
          <w:p w:rsidR="00E22F4C" w:rsidRDefault="00E22F4C">
            <w:pPr>
              <w:pStyle w:val="15"/>
              <w:spacing w:before="160" w:beforeAutospacing="0"/>
              <w:ind w:left="357"/>
            </w:pPr>
            <w:r>
              <w:rPr>
                <w:rStyle w:val="a5"/>
                <w:rFonts w:hint="eastAsia"/>
                <w:sz w:val="18"/>
                <w:szCs w:val="18"/>
              </w:rPr>
              <w:t>投运时间</w:t>
            </w:r>
          </w:p>
        </w:tc>
        <w:tc>
          <w:tcPr>
            <w:tcW w:w="1202"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pPr>
            <w:r>
              <w:rPr>
                <w:rStyle w:val="a5"/>
                <w:rFonts w:hint="eastAsia"/>
                <w:sz w:val="18"/>
                <w:szCs w:val="18"/>
              </w:rPr>
              <w:t> </w:t>
            </w:r>
          </w:p>
          <w:p w:rsidR="00E22F4C" w:rsidRDefault="00E22F4C">
            <w:pPr>
              <w:pStyle w:val="15"/>
              <w:spacing w:before="160" w:beforeAutospacing="0"/>
              <w:ind w:left="239"/>
            </w:pPr>
            <w:r>
              <w:rPr>
                <w:rStyle w:val="a5"/>
                <w:rFonts w:hint="eastAsia"/>
                <w:sz w:val="18"/>
                <w:szCs w:val="18"/>
              </w:rPr>
              <w:t>处理能力</w:t>
            </w:r>
          </w:p>
        </w:tc>
        <w:tc>
          <w:tcPr>
            <w:tcW w:w="1000"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pPr>
            <w:r>
              <w:rPr>
                <w:rStyle w:val="a5"/>
                <w:rFonts w:hint="eastAsia"/>
                <w:sz w:val="18"/>
                <w:szCs w:val="18"/>
              </w:rPr>
              <w:t> </w:t>
            </w:r>
          </w:p>
          <w:p w:rsidR="00E22F4C" w:rsidRDefault="00E22F4C">
            <w:pPr>
              <w:pStyle w:val="15"/>
              <w:spacing w:before="160" w:beforeAutospacing="0"/>
              <w:ind w:left="139"/>
            </w:pPr>
            <w:r>
              <w:rPr>
                <w:rStyle w:val="a5"/>
                <w:rFonts w:hint="eastAsia"/>
                <w:sz w:val="18"/>
                <w:szCs w:val="18"/>
              </w:rPr>
              <w:t>运行情况</w:t>
            </w:r>
          </w:p>
        </w:tc>
        <w:tc>
          <w:tcPr>
            <w:tcW w:w="1514"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pPr>
            <w:r>
              <w:rPr>
                <w:rStyle w:val="a5"/>
                <w:rFonts w:hint="eastAsia"/>
                <w:sz w:val="18"/>
                <w:szCs w:val="18"/>
              </w:rPr>
              <w:t> </w:t>
            </w:r>
          </w:p>
          <w:p w:rsidR="00E22F4C" w:rsidRDefault="00E22F4C">
            <w:pPr>
              <w:pStyle w:val="15"/>
              <w:spacing w:before="160" w:beforeAutospacing="0"/>
              <w:ind w:left="452"/>
            </w:pPr>
            <w:r>
              <w:rPr>
                <w:rStyle w:val="a5"/>
                <w:rFonts w:hint="eastAsia"/>
                <w:sz w:val="18"/>
                <w:szCs w:val="18"/>
              </w:rPr>
              <w:t>运维单位</w:t>
            </w:r>
          </w:p>
        </w:tc>
      </w:tr>
      <w:tr w:rsidR="00E22F4C">
        <w:trPr>
          <w:divId w:val="2019892162"/>
          <w:trHeight w:val="393"/>
        </w:trPr>
        <w:tc>
          <w:tcPr>
            <w:tcW w:w="924" w:type="dxa"/>
            <w:vMerge w:val="restart"/>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pPr>
            <w:r>
              <w:rPr>
                <w:rFonts w:hint="eastAsia"/>
                <w:sz w:val="18"/>
                <w:szCs w:val="18"/>
              </w:rPr>
              <w:lastRenderedPageBreak/>
              <w:t> </w:t>
            </w:r>
          </w:p>
          <w:p w:rsidR="00E22F4C" w:rsidRDefault="00E22F4C">
            <w:pPr>
              <w:pStyle w:val="15"/>
            </w:pPr>
            <w:r>
              <w:rPr>
                <w:rFonts w:hint="eastAsia"/>
                <w:sz w:val="18"/>
                <w:szCs w:val="18"/>
              </w:rPr>
              <w:t> </w:t>
            </w:r>
          </w:p>
          <w:p w:rsidR="00E22F4C" w:rsidRDefault="00E22F4C">
            <w:pPr>
              <w:pStyle w:val="15"/>
            </w:pPr>
            <w:r>
              <w:rPr>
                <w:rFonts w:hint="eastAsia"/>
                <w:sz w:val="18"/>
                <w:szCs w:val="18"/>
              </w:rPr>
              <w:t> </w:t>
            </w:r>
          </w:p>
          <w:p w:rsidR="00E22F4C" w:rsidRDefault="00E22F4C">
            <w:pPr>
              <w:pStyle w:val="15"/>
            </w:pPr>
            <w:r>
              <w:rPr>
                <w:rFonts w:hint="eastAsia"/>
                <w:sz w:val="18"/>
                <w:szCs w:val="18"/>
              </w:rPr>
              <w:t> </w:t>
            </w:r>
          </w:p>
          <w:p w:rsidR="00E22F4C" w:rsidRDefault="00E22F4C">
            <w:pPr>
              <w:pStyle w:val="15"/>
            </w:pPr>
            <w:r>
              <w:rPr>
                <w:rFonts w:hint="eastAsia"/>
                <w:sz w:val="18"/>
                <w:szCs w:val="18"/>
              </w:rPr>
              <w:t> </w:t>
            </w:r>
          </w:p>
          <w:p w:rsidR="00E22F4C" w:rsidRDefault="00E22F4C">
            <w:pPr>
              <w:pStyle w:val="15"/>
              <w:spacing w:before="2" w:beforeAutospacing="0"/>
            </w:pPr>
            <w:r>
              <w:rPr>
                <w:rFonts w:hint="eastAsia"/>
                <w:sz w:val="18"/>
                <w:szCs w:val="18"/>
              </w:rPr>
              <w:t> </w:t>
            </w:r>
          </w:p>
          <w:p w:rsidR="00E22F4C" w:rsidRDefault="00E22F4C">
            <w:pPr>
              <w:pStyle w:val="15"/>
              <w:spacing w:line="324" w:lineRule="auto"/>
              <w:ind w:left="107" w:right="264"/>
              <w:jc w:val="both"/>
            </w:pPr>
            <w:r>
              <w:rPr>
                <w:rFonts w:hint="eastAsia"/>
                <w:sz w:val="18"/>
                <w:szCs w:val="18"/>
              </w:rPr>
              <w:t>广东翔鹭钨业股份有限公司</w:t>
            </w:r>
          </w:p>
        </w:tc>
        <w:tc>
          <w:tcPr>
            <w:tcW w:w="1056"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7"/>
            </w:pPr>
            <w:r>
              <w:rPr>
                <w:rFonts w:hint="eastAsia"/>
                <w:sz w:val="18"/>
                <w:szCs w:val="18"/>
              </w:rPr>
              <w:t>水污染物</w:t>
            </w:r>
          </w:p>
        </w:tc>
        <w:tc>
          <w:tcPr>
            <w:tcW w:w="2321"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7"/>
            </w:pPr>
            <w:r>
              <w:rPr>
                <w:rFonts w:hint="eastAsia"/>
                <w:sz w:val="18"/>
                <w:szCs w:val="18"/>
              </w:rPr>
              <w:t>废水处理站</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7"/>
              <w:jc w:val="center"/>
            </w:pPr>
            <w:r>
              <w:rPr>
                <w:rFonts w:hint="eastAsia"/>
                <w:sz w:val="18"/>
                <w:szCs w:val="18"/>
              </w:rPr>
              <w:t>2009年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93" w:beforeAutospacing="0"/>
              <w:jc w:val="center"/>
            </w:pPr>
            <w:r>
              <w:rPr>
                <w:rFonts w:hint="eastAsia"/>
                <w:sz w:val="18"/>
                <w:szCs w:val="18"/>
              </w:rPr>
              <w:t>1500m³/d</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8"/>
            </w:pPr>
            <w:r>
              <w:rPr>
                <w:rFonts w:hint="eastAsia"/>
                <w:sz w:val="18"/>
                <w:szCs w:val="18"/>
              </w:rPr>
              <w:t>自运维</w:t>
            </w:r>
          </w:p>
        </w:tc>
      </w:tr>
      <w:tr w:rsidR="00E22F4C">
        <w:trPr>
          <w:divId w:val="2019892162"/>
          <w:trHeight w:val="410"/>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1056" w:type="dxa"/>
            <w:vMerge w:val="restart"/>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5" w:beforeAutospacing="0"/>
            </w:pPr>
            <w:r>
              <w:rPr>
                <w:rFonts w:hint="eastAsia"/>
                <w:sz w:val="18"/>
                <w:szCs w:val="18"/>
              </w:rPr>
              <w:t> </w:t>
            </w:r>
          </w:p>
          <w:p w:rsidR="00E22F4C" w:rsidRDefault="00E22F4C">
            <w:pPr>
              <w:pStyle w:val="15"/>
              <w:spacing w:line="324" w:lineRule="auto"/>
              <w:ind w:left="107" w:right="216"/>
            </w:pPr>
            <w:r>
              <w:rPr>
                <w:rFonts w:hint="eastAsia"/>
                <w:sz w:val="18"/>
                <w:szCs w:val="18"/>
              </w:rPr>
              <w:t>大气污染物</w:t>
            </w:r>
          </w:p>
          <w:p w:rsidR="00E22F4C" w:rsidRDefault="00E22F4C">
            <w:pPr>
              <w:pStyle w:val="15"/>
              <w:spacing w:line="324" w:lineRule="auto"/>
              <w:ind w:left="107" w:right="216"/>
            </w:pPr>
            <w:r>
              <w:rPr>
                <w:rFonts w:hint="eastAsia"/>
                <w:sz w:val="18"/>
                <w:szCs w:val="18"/>
              </w:rPr>
              <w:t> </w:t>
            </w:r>
          </w:p>
          <w:p w:rsidR="00E22F4C" w:rsidRDefault="00E22F4C">
            <w:pPr>
              <w:pStyle w:val="15"/>
              <w:spacing w:line="324" w:lineRule="auto"/>
              <w:ind w:left="107" w:right="216"/>
            </w:pPr>
            <w:r>
              <w:rPr>
                <w:rFonts w:hint="eastAsia"/>
                <w:sz w:val="18"/>
                <w:szCs w:val="18"/>
              </w:rPr>
              <w:t> </w:t>
            </w:r>
          </w:p>
          <w:p w:rsidR="00E22F4C" w:rsidRDefault="00E22F4C">
            <w:pPr>
              <w:pStyle w:val="15"/>
              <w:spacing w:line="324" w:lineRule="auto"/>
              <w:ind w:left="107" w:right="216"/>
            </w:pPr>
            <w:r>
              <w:rPr>
                <w:rFonts w:hint="eastAsia"/>
                <w:sz w:val="18"/>
                <w:szCs w:val="18"/>
              </w:rPr>
              <w:t> </w:t>
            </w:r>
          </w:p>
          <w:p w:rsidR="00E22F4C" w:rsidRDefault="00E22F4C">
            <w:pPr>
              <w:pStyle w:val="15"/>
              <w:spacing w:line="324" w:lineRule="auto"/>
              <w:ind w:left="107" w:right="216"/>
            </w:pPr>
            <w:r>
              <w:rPr>
                <w:rFonts w:hint="eastAsia"/>
                <w:sz w:val="18"/>
                <w:szCs w:val="18"/>
              </w:rPr>
              <w:t> </w:t>
            </w:r>
          </w:p>
          <w:p w:rsidR="00E22F4C" w:rsidRDefault="00E22F4C">
            <w:pPr>
              <w:pStyle w:val="15"/>
              <w:spacing w:line="324" w:lineRule="auto"/>
              <w:ind w:left="107" w:right="216"/>
            </w:pPr>
            <w:r>
              <w:rPr>
                <w:rFonts w:hint="eastAsia"/>
                <w:sz w:val="18"/>
                <w:szCs w:val="18"/>
              </w:rPr>
              <w:t> </w:t>
            </w:r>
          </w:p>
          <w:p w:rsidR="00E22F4C" w:rsidRDefault="00E22F4C">
            <w:pPr>
              <w:pStyle w:val="15"/>
              <w:spacing w:line="324" w:lineRule="auto"/>
              <w:ind w:left="107" w:right="216"/>
            </w:pPr>
            <w:r>
              <w:rPr>
                <w:rFonts w:hint="eastAsia"/>
                <w:sz w:val="18"/>
                <w:szCs w:val="18"/>
              </w:rPr>
              <w:t> </w:t>
            </w:r>
          </w:p>
        </w:tc>
        <w:tc>
          <w:tcPr>
            <w:tcW w:w="2321"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pPr>
            <w:r>
              <w:rPr>
                <w:rFonts w:hint="eastAsia"/>
                <w:sz w:val="18"/>
                <w:szCs w:val="18"/>
              </w:rPr>
              <w:t>锅炉低氮燃烧装置</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jc w:val="center"/>
            </w:pPr>
            <w:r>
              <w:rPr>
                <w:rFonts w:hint="eastAsia"/>
                <w:sz w:val="18"/>
                <w:szCs w:val="18"/>
              </w:rPr>
              <w:t> </w:t>
            </w:r>
          </w:p>
          <w:p w:rsidR="00E22F4C" w:rsidRDefault="00E22F4C">
            <w:pPr>
              <w:pStyle w:val="15"/>
              <w:ind w:left="107"/>
              <w:jc w:val="center"/>
            </w:pPr>
            <w:r>
              <w:rPr>
                <w:rFonts w:hint="eastAsia"/>
                <w:sz w:val="18"/>
                <w:szCs w:val="18"/>
              </w:rPr>
              <w:t>2020年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jc w:val="center"/>
            </w:pPr>
            <w:r>
              <w:rPr>
                <w:rFonts w:hint="eastAsia"/>
                <w:sz w:val="18"/>
                <w:szCs w:val="18"/>
              </w:rPr>
              <w:t> </w:t>
            </w:r>
          </w:p>
          <w:p w:rsidR="00E22F4C" w:rsidRDefault="00E22F4C">
            <w:pPr>
              <w:pStyle w:val="15"/>
              <w:jc w:val="center"/>
            </w:pPr>
            <w:r>
              <w:rPr>
                <w:rFonts w:hint="eastAsia"/>
                <w:sz w:val="18"/>
                <w:szCs w:val="18"/>
              </w:rPr>
              <w:t>6000m³/h</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pPr>
            <w:r>
              <w:rPr>
                <w:rFonts w:hint="eastAsia"/>
                <w:sz w:val="18"/>
                <w:szCs w:val="18"/>
              </w:rPr>
              <w:t> </w:t>
            </w:r>
          </w:p>
          <w:p w:rsidR="00E22F4C" w:rsidRDefault="00E22F4C">
            <w:pPr>
              <w:pStyle w:val="15"/>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pPr>
            <w:r>
              <w:rPr>
                <w:rFonts w:hint="eastAsia"/>
                <w:sz w:val="18"/>
                <w:szCs w:val="18"/>
              </w:rPr>
              <w:t> </w:t>
            </w:r>
          </w:p>
          <w:p w:rsidR="00E22F4C" w:rsidRDefault="00E22F4C">
            <w:pPr>
              <w:pStyle w:val="15"/>
              <w:ind w:left="108"/>
            </w:pPr>
            <w:r>
              <w:rPr>
                <w:rFonts w:hint="eastAsia"/>
                <w:sz w:val="18"/>
                <w:szCs w:val="18"/>
              </w:rPr>
              <w:t>自运维</w:t>
            </w:r>
          </w:p>
        </w:tc>
      </w:tr>
      <w:tr w:rsidR="00E22F4C">
        <w:trPr>
          <w:divId w:val="2019892162"/>
          <w:trHeight w:val="365"/>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firstLine="180"/>
            </w:pPr>
            <w:r>
              <w:rPr>
                <w:rFonts w:hint="eastAsia"/>
                <w:sz w:val="18"/>
                <w:szCs w:val="18"/>
              </w:rPr>
              <w:t>解析废气处理装置</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a4"/>
              <w:spacing w:before="0" w:beforeAutospacing="0" w:after="0" w:afterAutospacing="0"/>
              <w:jc w:val="center"/>
              <w:rPr>
                <w:rFonts w:ascii="Calibri" w:hAnsi="Calibri" w:cs="Calibri"/>
                <w:sz w:val="21"/>
                <w:szCs w:val="21"/>
              </w:rPr>
            </w:pPr>
            <w:r>
              <w:rPr>
                <w:rFonts w:ascii="Calibri" w:hAnsi="Calibri" w:cs="Calibri"/>
                <w:sz w:val="18"/>
                <w:szCs w:val="18"/>
              </w:rPr>
              <w:t> 2009</w:t>
            </w:r>
            <w:r>
              <w:rPr>
                <w:rFonts w:cs="Calibri" w:hint="eastAsia"/>
                <w:sz w:val="18"/>
                <w:szCs w:val="18"/>
              </w:rPr>
              <w:t>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jc w:val="center"/>
            </w:pPr>
            <w:r>
              <w:rPr>
                <w:rFonts w:hint="eastAsia"/>
                <w:sz w:val="18"/>
                <w:szCs w:val="18"/>
              </w:rPr>
              <w:t>3000m³/h</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pPr>
            <w:r>
              <w:rPr>
                <w:rFonts w:hint="eastAsia"/>
                <w:sz w:val="18"/>
                <w:szCs w:val="18"/>
              </w:rPr>
              <w:t> </w:t>
            </w:r>
          </w:p>
          <w:p w:rsidR="00E22F4C" w:rsidRDefault="00E22F4C">
            <w:pPr>
              <w:pStyle w:val="15"/>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pPr>
            <w:r>
              <w:rPr>
                <w:rFonts w:hint="eastAsia"/>
                <w:sz w:val="18"/>
                <w:szCs w:val="18"/>
              </w:rPr>
              <w:t> </w:t>
            </w:r>
          </w:p>
          <w:p w:rsidR="00E22F4C" w:rsidRDefault="00E22F4C">
            <w:pPr>
              <w:pStyle w:val="15"/>
              <w:ind w:left="108"/>
            </w:pPr>
            <w:r>
              <w:rPr>
                <w:rFonts w:hint="eastAsia"/>
                <w:sz w:val="18"/>
                <w:szCs w:val="18"/>
              </w:rPr>
              <w:t>自运维</w:t>
            </w:r>
          </w:p>
        </w:tc>
      </w:tr>
      <w:tr w:rsidR="00E22F4C">
        <w:trPr>
          <w:divId w:val="2019892162"/>
          <w:trHeight w:val="333"/>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pPr>
            <w:r>
              <w:rPr>
                <w:rFonts w:hint="eastAsia"/>
                <w:sz w:val="18"/>
                <w:szCs w:val="18"/>
              </w:rPr>
              <w:t>净化废气处理装置</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a4"/>
              <w:spacing w:before="0" w:beforeAutospacing="0" w:after="0" w:afterAutospacing="0"/>
              <w:jc w:val="center"/>
              <w:rPr>
                <w:rFonts w:ascii="Calibri" w:hAnsi="Calibri" w:cs="Calibri"/>
                <w:sz w:val="21"/>
                <w:szCs w:val="21"/>
              </w:rPr>
            </w:pPr>
            <w:r>
              <w:rPr>
                <w:rFonts w:ascii="Calibri" w:hAnsi="Calibri" w:cs="Calibri"/>
                <w:sz w:val="18"/>
                <w:szCs w:val="18"/>
              </w:rPr>
              <w:t>2009</w:t>
            </w:r>
            <w:r>
              <w:rPr>
                <w:rFonts w:cs="Calibri" w:hint="eastAsia"/>
                <w:sz w:val="18"/>
                <w:szCs w:val="18"/>
              </w:rPr>
              <w:t>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jc w:val="center"/>
            </w:pPr>
            <w:r>
              <w:rPr>
                <w:rFonts w:hint="eastAsia"/>
                <w:sz w:val="18"/>
                <w:szCs w:val="18"/>
              </w:rPr>
              <w:t>2000m³/h</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pPr>
            <w:r>
              <w:rPr>
                <w:rFonts w:hint="eastAsia"/>
                <w:sz w:val="18"/>
                <w:szCs w:val="18"/>
              </w:rPr>
              <w:t> </w:t>
            </w:r>
          </w:p>
          <w:p w:rsidR="00E22F4C" w:rsidRDefault="00E22F4C">
            <w:pPr>
              <w:pStyle w:val="15"/>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10" w:beforeAutospacing="0"/>
            </w:pPr>
            <w:r>
              <w:rPr>
                <w:rFonts w:hint="eastAsia"/>
                <w:sz w:val="18"/>
                <w:szCs w:val="18"/>
              </w:rPr>
              <w:t> </w:t>
            </w:r>
          </w:p>
          <w:p w:rsidR="00E22F4C" w:rsidRDefault="00E22F4C">
            <w:pPr>
              <w:pStyle w:val="15"/>
              <w:ind w:left="108"/>
            </w:pPr>
            <w:r>
              <w:rPr>
                <w:rFonts w:hint="eastAsia"/>
                <w:sz w:val="18"/>
                <w:szCs w:val="18"/>
              </w:rPr>
              <w:t>自运维</w:t>
            </w:r>
          </w:p>
        </w:tc>
      </w:tr>
      <w:tr w:rsidR="00E22F4C">
        <w:trPr>
          <w:divId w:val="2019892162"/>
          <w:trHeight w:val="393"/>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pPr>
            <w:r>
              <w:rPr>
                <w:rFonts w:hint="eastAsia"/>
                <w:sz w:val="18"/>
                <w:szCs w:val="18"/>
              </w:rPr>
              <w:t>浓缩结晶废气处理装置</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jc w:val="center"/>
            </w:pPr>
            <w:r>
              <w:rPr>
                <w:rFonts w:hint="eastAsia"/>
                <w:sz w:val="18"/>
                <w:szCs w:val="18"/>
              </w:rPr>
              <w:t>2009年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a4"/>
              <w:spacing w:before="0" w:beforeAutospacing="0" w:after="0" w:afterAutospacing="0"/>
              <w:jc w:val="center"/>
              <w:rPr>
                <w:rFonts w:ascii="Calibri" w:hAnsi="Calibri" w:cs="Calibri"/>
                <w:sz w:val="21"/>
                <w:szCs w:val="21"/>
              </w:rPr>
            </w:pPr>
            <w:r>
              <w:rPr>
                <w:rFonts w:cs="Calibri" w:hint="eastAsia"/>
                <w:sz w:val="18"/>
                <w:szCs w:val="18"/>
              </w:rPr>
              <w:t>2000m³/h</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自运维</w:t>
            </w:r>
          </w:p>
        </w:tc>
      </w:tr>
      <w:tr w:rsidR="00E22F4C">
        <w:trPr>
          <w:divId w:val="2019892162"/>
          <w:trHeight w:val="393"/>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pPr>
            <w:r>
              <w:rPr>
                <w:rFonts w:hint="eastAsia"/>
                <w:sz w:val="18"/>
                <w:szCs w:val="18"/>
              </w:rPr>
              <w:t>煅烧废气处理装置</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jc w:val="center"/>
            </w:pPr>
            <w:r>
              <w:rPr>
                <w:rFonts w:hint="eastAsia"/>
                <w:sz w:val="18"/>
                <w:szCs w:val="18"/>
              </w:rPr>
              <w:t>2009年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a4"/>
              <w:spacing w:before="0" w:beforeAutospacing="0" w:after="0" w:afterAutospacing="0"/>
              <w:jc w:val="center"/>
              <w:rPr>
                <w:rFonts w:ascii="Calibri" w:hAnsi="Calibri" w:cs="Calibri"/>
                <w:sz w:val="21"/>
                <w:szCs w:val="21"/>
              </w:rPr>
            </w:pPr>
            <w:r>
              <w:rPr>
                <w:rFonts w:cs="Calibri" w:hint="eastAsia"/>
                <w:sz w:val="18"/>
                <w:szCs w:val="18"/>
              </w:rPr>
              <w:t>600m³/h</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自运维</w:t>
            </w:r>
          </w:p>
        </w:tc>
      </w:tr>
      <w:tr w:rsidR="00E22F4C">
        <w:trPr>
          <w:divId w:val="2019892162"/>
          <w:trHeight w:val="393"/>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pPr>
            <w:r>
              <w:rPr>
                <w:rFonts w:hint="eastAsia"/>
                <w:sz w:val="18"/>
                <w:szCs w:val="18"/>
              </w:rPr>
              <w:t>粉尘废气处理装置</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jc w:val="center"/>
            </w:pPr>
            <w:r>
              <w:rPr>
                <w:rFonts w:hint="eastAsia"/>
                <w:sz w:val="18"/>
                <w:szCs w:val="18"/>
              </w:rPr>
              <w:t>2012年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a4"/>
              <w:spacing w:before="0" w:beforeAutospacing="0" w:after="0" w:afterAutospacing="0"/>
              <w:jc w:val="center"/>
              <w:rPr>
                <w:rFonts w:ascii="Calibri" w:hAnsi="Calibri" w:cs="Calibri"/>
                <w:sz w:val="21"/>
                <w:szCs w:val="21"/>
              </w:rPr>
            </w:pPr>
            <w:r>
              <w:rPr>
                <w:rFonts w:cs="Calibri" w:hint="eastAsia"/>
                <w:sz w:val="18"/>
                <w:szCs w:val="18"/>
              </w:rPr>
              <w:t>50000m³/h</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自运维</w:t>
            </w:r>
          </w:p>
        </w:tc>
      </w:tr>
      <w:tr w:rsidR="00E22F4C">
        <w:trPr>
          <w:divId w:val="2019892162"/>
          <w:trHeight w:val="393"/>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pPr>
            <w:r>
              <w:rPr>
                <w:rFonts w:hint="eastAsia"/>
                <w:sz w:val="18"/>
                <w:szCs w:val="18"/>
              </w:rPr>
              <w:t>油烟废气处理装置</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jc w:val="center"/>
            </w:pPr>
            <w:r>
              <w:rPr>
                <w:rFonts w:hint="eastAsia"/>
                <w:sz w:val="18"/>
                <w:szCs w:val="18"/>
              </w:rPr>
              <w:t>2009年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a4"/>
              <w:spacing w:before="0" w:beforeAutospacing="0" w:after="0" w:afterAutospacing="0"/>
              <w:jc w:val="center"/>
              <w:rPr>
                <w:rFonts w:ascii="Calibri" w:hAnsi="Calibri" w:cs="Calibri"/>
                <w:sz w:val="21"/>
                <w:szCs w:val="21"/>
              </w:rPr>
            </w:pPr>
            <w:r>
              <w:rPr>
                <w:rFonts w:cs="Calibri" w:hint="eastAsia"/>
                <w:sz w:val="18"/>
                <w:szCs w:val="18"/>
              </w:rPr>
              <w:t>10000m³/h</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自运维</w:t>
            </w:r>
          </w:p>
        </w:tc>
      </w:tr>
      <w:tr w:rsidR="00E22F4C">
        <w:trPr>
          <w:divId w:val="2019892162"/>
          <w:trHeight w:val="400"/>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1056" w:type="dxa"/>
            <w:vMerge w:val="restart"/>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pPr>
            <w:r>
              <w:rPr>
                <w:rFonts w:hint="eastAsia"/>
                <w:sz w:val="18"/>
                <w:szCs w:val="18"/>
              </w:rPr>
              <w:t> </w:t>
            </w:r>
          </w:p>
          <w:p w:rsidR="00E22F4C" w:rsidRDefault="00E22F4C">
            <w:pPr>
              <w:pStyle w:val="15"/>
            </w:pPr>
            <w:r>
              <w:rPr>
                <w:rFonts w:hint="eastAsia"/>
                <w:sz w:val="18"/>
                <w:szCs w:val="18"/>
              </w:rPr>
              <w:t> </w:t>
            </w:r>
          </w:p>
          <w:p w:rsidR="00E22F4C" w:rsidRDefault="00E22F4C">
            <w:pPr>
              <w:pStyle w:val="15"/>
              <w:spacing w:before="11" w:beforeAutospacing="0"/>
            </w:pPr>
            <w:r>
              <w:rPr>
                <w:rFonts w:hint="eastAsia"/>
                <w:sz w:val="18"/>
                <w:szCs w:val="18"/>
              </w:rPr>
              <w:t> </w:t>
            </w:r>
          </w:p>
          <w:p w:rsidR="00E22F4C" w:rsidRDefault="00E22F4C">
            <w:pPr>
              <w:pStyle w:val="15"/>
              <w:ind w:left="107"/>
            </w:pPr>
            <w:r>
              <w:rPr>
                <w:rFonts w:hint="eastAsia"/>
                <w:sz w:val="18"/>
                <w:szCs w:val="18"/>
              </w:rPr>
              <w:t>固体废物</w:t>
            </w:r>
          </w:p>
        </w:tc>
        <w:tc>
          <w:tcPr>
            <w:tcW w:w="2321"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3" w:beforeAutospacing="0"/>
              <w:ind w:left="107"/>
            </w:pPr>
            <w:r>
              <w:rPr>
                <w:rFonts w:hint="eastAsia"/>
                <w:sz w:val="18"/>
                <w:szCs w:val="18"/>
              </w:rPr>
              <w:t>钨冶炼渣暂存库（产生点）</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3" w:beforeAutospacing="0"/>
              <w:ind w:left="107"/>
              <w:jc w:val="center"/>
            </w:pPr>
            <w:r>
              <w:rPr>
                <w:rFonts w:hint="eastAsia"/>
                <w:sz w:val="18"/>
                <w:szCs w:val="18"/>
              </w:rPr>
              <w:t>1997年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95" w:beforeAutospacing="0"/>
              <w:jc w:val="center"/>
            </w:pPr>
            <w:r>
              <w:rPr>
                <w:rFonts w:hint="eastAsia"/>
                <w:sz w:val="18"/>
                <w:szCs w:val="18"/>
              </w:rPr>
              <w:t>100m²</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3"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3" w:beforeAutospacing="0"/>
              <w:ind w:left="108"/>
            </w:pPr>
            <w:r>
              <w:rPr>
                <w:rFonts w:hint="eastAsia"/>
                <w:sz w:val="18"/>
                <w:szCs w:val="18"/>
              </w:rPr>
              <w:t>自运维</w:t>
            </w:r>
          </w:p>
        </w:tc>
      </w:tr>
      <w:tr w:rsidR="00E22F4C">
        <w:trPr>
          <w:divId w:val="2019892162"/>
          <w:trHeight w:val="390"/>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pPr>
            <w:r>
              <w:rPr>
                <w:rFonts w:hint="eastAsia"/>
                <w:sz w:val="18"/>
                <w:szCs w:val="18"/>
              </w:rPr>
              <w:t>钨冶炼渣暂存库</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7"/>
              <w:jc w:val="center"/>
            </w:pPr>
            <w:r>
              <w:rPr>
                <w:rFonts w:hint="eastAsia"/>
                <w:sz w:val="18"/>
                <w:szCs w:val="18"/>
              </w:rPr>
              <w:t>2016年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jc w:val="center"/>
            </w:pPr>
            <w:r>
              <w:rPr>
                <w:rFonts w:hint="eastAsia"/>
                <w:sz w:val="18"/>
                <w:szCs w:val="18"/>
              </w:rPr>
              <w:t>2,000㎡</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79" w:beforeAutospacing="0"/>
              <w:ind w:left="109"/>
            </w:pPr>
            <w:r>
              <w:rPr>
                <w:rFonts w:hint="eastAsia"/>
                <w:sz w:val="18"/>
                <w:szCs w:val="18"/>
              </w:rPr>
              <w:t>自运维</w:t>
            </w:r>
          </w:p>
        </w:tc>
      </w:tr>
      <w:tr w:rsidR="00E22F4C">
        <w:trPr>
          <w:divId w:val="2019892162"/>
          <w:trHeight w:val="393"/>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7"/>
            </w:pPr>
            <w:r>
              <w:rPr>
                <w:rFonts w:hint="eastAsia"/>
                <w:sz w:val="18"/>
                <w:szCs w:val="18"/>
              </w:rPr>
              <w:t>危废暂存库</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7"/>
              <w:jc w:val="center"/>
            </w:pPr>
            <w:r>
              <w:rPr>
                <w:rFonts w:hint="eastAsia"/>
                <w:sz w:val="18"/>
                <w:szCs w:val="18"/>
              </w:rPr>
              <w:t>1997年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jc w:val="center"/>
            </w:pPr>
            <w:r>
              <w:rPr>
                <w:rFonts w:hint="eastAsia"/>
                <w:sz w:val="18"/>
                <w:szCs w:val="18"/>
              </w:rPr>
              <w:t>100㎡</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1" w:beforeAutospacing="0"/>
              <w:ind w:left="108"/>
            </w:pPr>
            <w:r>
              <w:rPr>
                <w:rFonts w:hint="eastAsia"/>
                <w:sz w:val="18"/>
                <w:szCs w:val="18"/>
              </w:rPr>
              <w:t>自运维</w:t>
            </w:r>
          </w:p>
        </w:tc>
      </w:tr>
      <w:tr w:rsidR="00E22F4C">
        <w:trPr>
          <w:divId w:val="2019892162"/>
          <w:trHeight w:val="402"/>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232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4" w:beforeAutospacing="0"/>
              <w:ind w:left="107"/>
            </w:pPr>
            <w:r>
              <w:rPr>
                <w:rFonts w:hint="eastAsia"/>
                <w:sz w:val="18"/>
                <w:szCs w:val="18"/>
              </w:rPr>
              <w:t>一般固废储存区</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4" w:beforeAutospacing="0"/>
              <w:ind w:left="107"/>
              <w:jc w:val="center"/>
            </w:pPr>
            <w:r>
              <w:rPr>
                <w:rFonts w:hint="eastAsia"/>
                <w:sz w:val="18"/>
                <w:szCs w:val="18"/>
              </w:rPr>
              <w:t>1997年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95" w:beforeAutospacing="0"/>
              <w:jc w:val="center"/>
            </w:pPr>
            <w:r>
              <w:rPr>
                <w:rFonts w:hint="eastAsia"/>
                <w:sz w:val="18"/>
                <w:szCs w:val="18"/>
              </w:rPr>
              <w:t>200m²</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4" w:beforeAutospacing="0"/>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84" w:beforeAutospacing="0"/>
              <w:ind w:left="108"/>
            </w:pPr>
            <w:r>
              <w:rPr>
                <w:rFonts w:hint="eastAsia"/>
                <w:sz w:val="18"/>
                <w:szCs w:val="18"/>
              </w:rPr>
              <w:t>自运维</w:t>
            </w:r>
          </w:p>
        </w:tc>
      </w:tr>
      <w:tr w:rsidR="00E22F4C">
        <w:trPr>
          <w:divId w:val="2019892162"/>
          <w:trHeight w:val="702"/>
        </w:trPr>
        <w:tc>
          <w:tcPr>
            <w:tcW w:w="0" w:type="auto"/>
            <w:vMerge/>
            <w:tcBorders>
              <w:top w:val="nil"/>
              <w:left w:val="single" w:sz="8" w:space="0" w:color="auto"/>
              <w:bottom w:val="single" w:sz="8" w:space="0" w:color="auto"/>
              <w:right w:val="single" w:sz="8" w:space="0" w:color="auto"/>
            </w:tcBorders>
            <w:vAlign w:val="center"/>
            <w:hideMark/>
          </w:tcPr>
          <w:p w:rsidR="00E22F4C" w:rsidRDefault="00E22F4C">
            <w:pPr>
              <w:rPr>
                <w:rFonts w:ascii="宋体" w:eastAsia="宋体" w:hAnsi="宋体" w:cs="宋体"/>
                <w:sz w:val="24"/>
                <w:szCs w:val="24"/>
              </w:rPr>
            </w:pPr>
          </w:p>
        </w:tc>
        <w:tc>
          <w:tcPr>
            <w:tcW w:w="1056"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4" w:beforeAutospacing="0"/>
            </w:pPr>
            <w:r>
              <w:rPr>
                <w:rFonts w:hint="eastAsia"/>
                <w:sz w:val="18"/>
                <w:szCs w:val="18"/>
              </w:rPr>
              <w:t> </w:t>
            </w:r>
          </w:p>
          <w:p w:rsidR="00E22F4C" w:rsidRDefault="00E22F4C">
            <w:pPr>
              <w:pStyle w:val="15"/>
              <w:ind w:left="107"/>
            </w:pPr>
            <w:r>
              <w:rPr>
                <w:rFonts w:hint="eastAsia"/>
                <w:sz w:val="18"/>
                <w:szCs w:val="18"/>
              </w:rPr>
              <w:t>噪声</w:t>
            </w:r>
          </w:p>
        </w:tc>
        <w:tc>
          <w:tcPr>
            <w:tcW w:w="2321"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9" w:beforeAutospacing="0" w:line="312" w:lineRule="atLeast"/>
              <w:ind w:left="107" w:right="168"/>
            </w:pPr>
            <w:r>
              <w:rPr>
                <w:rFonts w:hint="eastAsia"/>
                <w:sz w:val="18"/>
                <w:szCs w:val="18"/>
              </w:rPr>
              <w:t>设备采取隔音、减振、耳塞等降噪措施</w:t>
            </w:r>
          </w:p>
        </w:tc>
        <w:tc>
          <w:tcPr>
            <w:tcW w:w="1387"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4" w:beforeAutospacing="0"/>
              <w:jc w:val="center"/>
            </w:pPr>
            <w:r>
              <w:rPr>
                <w:rFonts w:hint="eastAsia"/>
                <w:sz w:val="18"/>
                <w:szCs w:val="18"/>
              </w:rPr>
              <w:t> </w:t>
            </w:r>
          </w:p>
          <w:p w:rsidR="00E22F4C" w:rsidRDefault="00E22F4C">
            <w:pPr>
              <w:pStyle w:val="15"/>
              <w:ind w:left="107"/>
              <w:jc w:val="center"/>
            </w:pPr>
            <w:r>
              <w:rPr>
                <w:rFonts w:hint="eastAsia"/>
                <w:sz w:val="18"/>
                <w:szCs w:val="18"/>
              </w:rPr>
              <w:t>1997年</w:t>
            </w:r>
          </w:p>
        </w:tc>
        <w:tc>
          <w:tcPr>
            <w:tcW w:w="1202"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4" w:beforeAutospacing="0"/>
              <w:jc w:val="center"/>
            </w:pPr>
            <w:r>
              <w:rPr>
                <w:rFonts w:hint="eastAsia"/>
                <w:sz w:val="18"/>
                <w:szCs w:val="18"/>
              </w:rPr>
              <w:t> </w:t>
            </w:r>
          </w:p>
          <w:p w:rsidR="00E22F4C" w:rsidRDefault="00E22F4C">
            <w:pPr>
              <w:pStyle w:val="15"/>
              <w:jc w:val="center"/>
            </w:pPr>
            <w:r>
              <w:rPr>
                <w:rFonts w:hint="eastAsia"/>
                <w:sz w:val="18"/>
                <w:szCs w:val="18"/>
              </w:rPr>
              <w:t>＜70dB</w:t>
            </w:r>
          </w:p>
        </w:tc>
        <w:tc>
          <w:tcPr>
            <w:tcW w:w="1000"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4" w:beforeAutospacing="0"/>
            </w:pPr>
            <w:r>
              <w:rPr>
                <w:rFonts w:hint="eastAsia"/>
                <w:sz w:val="18"/>
                <w:szCs w:val="18"/>
              </w:rPr>
              <w:t> </w:t>
            </w:r>
          </w:p>
          <w:p w:rsidR="00E22F4C" w:rsidRDefault="00E22F4C">
            <w:pPr>
              <w:pStyle w:val="15"/>
              <w:ind w:left="108"/>
            </w:pPr>
            <w:r>
              <w:rPr>
                <w:rFonts w:hint="eastAsia"/>
                <w:sz w:val="18"/>
                <w:szCs w:val="18"/>
              </w:rPr>
              <w:t>正常运行</w:t>
            </w:r>
          </w:p>
        </w:tc>
        <w:tc>
          <w:tcPr>
            <w:tcW w:w="1514" w:type="dxa"/>
            <w:tcBorders>
              <w:top w:val="nil"/>
              <w:left w:val="nil"/>
              <w:bottom w:val="single" w:sz="8" w:space="0" w:color="auto"/>
              <w:right w:val="single" w:sz="8" w:space="0" w:color="auto"/>
            </w:tcBorders>
            <w:tcMar>
              <w:top w:w="0" w:type="dxa"/>
              <w:left w:w="0" w:type="dxa"/>
              <w:bottom w:w="0" w:type="dxa"/>
              <w:right w:w="0" w:type="dxa"/>
            </w:tcMar>
            <w:hideMark/>
          </w:tcPr>
          <w:p w:rsidR="00E22F4C" w:rsidRDefault="00E22F4C">
            <w:pPr>
              <w:pStyle w:val="15"/>
              <w:spacing w:before="4" w:beforeAutospacing="0"/>
            </w:pPr>
            <w:r>
              <w:rPr>
                <w:rFonts w:hint="eastAsia"/>
                <w:sz w:val="18"/>
                <w:szCs w:val="18"/>
              </w:rPr>
              <w:t> </w:t>
            </w:r>
          </w:p>
          <w:p w:rsidR="00E22F4C" w:rsidRDefault="00E22F4C">
            <w:pPr>
              <w:pStyle w:val="15"/>
              <w:ind w:left="108"/>
            </w:pPr>
            <w:r>
              <w:rPr>
                <w:rFonts w:hint="eastAsia"/>
                <w:sz w:val="18"/>
                <w:szCs w:val="18"/>
              </w:rPr>
              <w:t>自运维</w:t>
            </w:r>
          </w:p>
        </w:tc>
      </w:tr>
    </w:tbl>
    <w:p w:rsidR="00E22F4C" w:rsidRDefault="00E22F4C">
      <w:pPr>
        <w:divId w:val="2019892162"/>
        <w:rPr>
          <w:sz w:val="24"/>
          <w:szCs w:val="24"/>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环境自行监测方案</w:t>
      </w:r>
    </w:p>
    <w:p w:rsidR="00E22F4C" w:rsidRDefault="00E22F4C">
      <w:pPr>
        <w:pStyle w:val="a4"/>
        <w:spacing w:before="0" w:beforeAutospacing="0" w:after="0" w:afterAutospacing="0" w:line="415" w:lineRule="auto"/>
        <w:ind w:left="172" w:right="308" w:firstLine="420"/>
        <w:jc w:val="both"/>
        <w:divId w:val="282883490"/>
        <w:rPr>
          <w:sz w:val="21"/>
          <w:szCs w:val="21"/>
        </w:rPr>
      </w:pPr>
      <w:r>
        <w:rPr>
          <w:rFonts w:cs="Calibri" w:hint="eastAsia"/>
          <w:sz w:val="18"/>
          <w:szCs w:val="18"/>
        </w:rPr>
        <w:t>公司本部根据《排污单位自行监测技术指南总则》（</w:t>
      </w:r>
      <w:r>
        <w:rPr>
          <w:rFonts w:ascii="Calibri" w:hAnsi="Calibri" w:cs="Calibri"/>
          <w:sz w:val="18"/>
          <w:szCs w:val="18"/>
        </w:rPr>
        <w:t>HJ819-2017</w:t>
      </w:r>
      <w:r>
        <w:rPr>
          <w:rFonts w:cs="Calibri" w:hint="eastAsia"/>
          <w:sz w:val="18"/>
          <w:szCs w:val="18"/>
        </w:rPr>
        <w:t>）、《排污许可证申请与核发技术规范稀有稀土金属冶炼》（</w:t>
      </w:r>
      <w:r>
        <w:rPr>
          <w:rFonts w:ascii="Calibri" w:hAnsi="Calibri" w:cs="Calibri"/>
          <w:sz w:val="18"/>
          <w:szCs w:val="18"/>
        </w:rPr>
        <w:t>HJ1125-2020</w:t>
      </w:r>
      <w:r>
        <w:rPr>
          <w:rFonts w:cs="Calibri" w:hint="eastAsia"/>
          <w:sz w:val="18"/>
          <w:szCs w:val="18"/>
        </w:rPr>
        <w:t>）发布稿等规范要求编制了自行监测方案，并通过了市环境主管部门审核。公司严格按照《国家重点监控企业自行监测及信息公开办法》（环发〔</w:t>
      </w:r>
      <w:r>
        <w:rPr>
          <w:rFonts w:ascii="Calibri" w:hAnsi="Calibri" w:cs="Calibri"/>
          <w:sz w:val="18"/>
          <w:szCs w:val="18"/>
        </w:rPr>
        <w:t>2013</w:t>
      </w:r>
      <w:r>
        <w:rPr>
          <w:rFonts w:cs="Calibri" w:hint="eastAsia"/>
          <w:sz w:val="18"/>
          <w:szCs w:val="18"/>
        </w:rPr>
        <w:t>〕</w:t>
      </w:r>
      <w:r>
        <w:rPr>
          <w:rFonts w:ascii="Calibri" w:hAnsi="Calibri" w:cs="Calibri"/>
          <w:sz w:val="18"/>
          <w:szCs w:val="18"/>
        </w:rPr>
        <w:t xml:space="preserve">81 </w:t>
      </w:r>
      <w:r>
        <w:rPr>
          <w:rFonts w:cs="Calibri" w:hint="eastAsia"/>
          <w:sz w:val="18"/>
          <w:szCs w:val="18"/>
        </w:rPr>
        <w:t>号）要求制定了企业环境自行监测方案，对公司排放污染物的监测指标、监测点位、监测频次、监测方法、执行排放标准及标准限值等进行了明确规定，并在</w:t>
      </w:r>
      <w:r>
        <w:rPr>
          <w:rFonts w:hint="eastAsia"/>
          <w:sz w:val="18"/>
          <w:szCs w:val="18"/>
        </w:rPr>
        <w:t>全国</w:t>
      </w:r>
      <w:r>
        <w:rPr>
          <w:rFonts w:cs="Calibri" w:hint="eastAsia"/>
          <w:sz w:val="18"/>
          <w:szCs w:val="18"/>
        </w:rPr>
        <w:t>排污许可证管理信息平台上进行了信息公开。</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突发环境事件应急预案</w:t>
      </w:r>
    </w:p>
    <w:p w:rsidR="00E22F4C" w:rsidRDefault="00E22F4C">
      <w:pPr>
        <w:pStyle w:val="a4"/>
        <w:spacing w:before="0" w:beforeAutospacing="0" w:after="0" w:afterAutospacing="0"/>
        <w:ind w:firstLine="360"/>
        <w:divId w:val="1864704651"/>
        <w:rPr>
          <w:rFonts w:ascii="Calibri" w:hAnsi="Calibri" w:cs="Calibri"/>
          <w:sz w:val="21"/>
          <w:szCs w:val="21"/>
        </w:rPr>
      </w:pPr>
      <w:r>
        <w:rPr>
          <w:rFonts w:cs="Calibri" w:hint="eastAsia"/>
          <w:sz w:val="18"/>
          <w:szCs w:val="18"/>
        </w:rPr>
        <w:t>公司根据《环境保护法》《突发事件应对法》等法律法规和《突发事件应急预案管理办法》 等文件 要 求，编制了《突发环境事件应急预案》，并已向当地环境主管部门进行了备案。公司每年定期组织开展相关应急演练，不断提高公司突发环境事件应对能力。应急预案备案编号；</w:t>
      </w:r>
      <w:r>
        <w:rPr>
          <w:rFonts w:ascii="Calibri" w:hAnsi="Calibri" w:cs="Calibri"/>
          <w:sz w:val="18"/>
          <w:szCs w:val="18"/>
        </w:rPr>
        <w:t>445102-2022-0032-L</w:t>
      </w:r>
      <w:r>
        <w:rPr>
          <w:rFonts w:cs="Calibri" w:hint="eastAsia"/>
          <w:sz w:val="18"/>
          <w:szCs w:val="18"/>
        </w:rPr>
        <w:t>，应急备案机关：潮州市生态环境局湘桥分局，应急预案备案时间：</w:t>
      </w:r>
      <w:r>
        <w:rPr>
          <w:rFonts w:ascii="Calibri" w:hAnsi="Calibri" w:cs="Calibri"/>
          <w:sz w:val="18"/>
          <w:szCs w:val="18"/>
        </w:rPr>
        <w:t>2022</w:t>
      </w:r>
      <w:r>
        <w:rPr>
          <w:rFonts w:cs="Calibri" w:hint="eastAsia"/>
          <w:sz w:val="18"/>
          <w:szCs w:val="18"/>
        </w:rPr>
        <w:t>年</w:t>
      </w:r>
      <w:r>
        <w:rPr>
          <w:rFonts w:ascii="Calibri" w:hAnsi="Calibri" w:cs="Calibri"/>
          <w:sz w:val="18"/>
          <w:szCs w:val="18"/>
        </w:rPr>
        <w:t>9</w:t>
      </w:r>
      <w:r>
        <w:rPr>
          <w:rFonts w:cs="Calibri" w:hint="eastAsia"/>
          <w:sz w:val="18"/>
          <w:szCs w:val="18"/>
        </w:rPr>
        <w:t>月</w:t>
      </w:r>
      <w:r>
        <w:rPr>
          <w:rFonts w:ascii="Calibri" w:hAnsi="Calibri" w:cs="Calibri"/>
          <w:sz w:val="18"/>
          <w:szCs w:val="18"/>
        </w:rPr>
        <w:t>26</w:t>
      </w:r>
      <w:r>
        <w:rPr>
          <w:rFonts w:cs="Calibri" w:hint="eastAsia"/>
          <w:sz w:val="18"/>
          <w:szCs w:val="18"/>
        </w:rPr>
        <w:t>日，风险等级：一般风险。</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环境治理和保护的投入及缴纳环境保护税的相关情况</w:t>
      </w:r>
    </w:p>
    <w:p w:rsidR="00E22F4C" w:rsidRDefault="00E22F4C">
      <w:pPr>
        <w:pStyle w:val="a4"/>
        <w:spacing w:before="0" w:beforeAutospacing="0" w:after="0" w:afterAutospacing="0"/>
        <w:ind w:firstLine="360"/>
        <w:divId w:val="1247569660"/>
        <w:rPr>
          <w:rFonts w:ascii="Calibri" w:hAnsi="Calibri" w:cs="Calibri"/>
          <w:sz w:val="21"/>
          <w:szCs w:val="21"/>
        </w:rPr>
      </w:pPr>
      <w:r>
        <w:rPr>
          <w:rFonts w:cs="Calibri" w:hint="eastAsia"/>
          <w:sz w:val="18"/>
          <w:szCs w:val="18"/>
        </w:rPr>
        <w:t>本年度实际缴纳环保税</w:t>
      </w:r>
      <w:r>
        <w:rPr>
          <w:rFonts w:ascii="Calibri" w:hAnsi="Calibri" w:cs="Calibri"/>
          <w:sz w:val="18"/>
          <w:szCs w:val="18"/>
        </w:rPr>
        <w:t>12101.54</w:t>
      </w:r>
      <w:r>
        <w:rPr>
          <w:rFonts w:cs="Calibri" w:hint="eastAsia"/>
          <w:sz w:val="18"/>
          <w:szCs w:val="18"/>
        </w:rPr>
        <w:t>元，减免额度</w:t>
      </w:r>
      <w:r>
        <w:rPr>
          <w:rFonts w:ascii="Calibri" w:hAnsi="Calibri" w:cs="Calibri"/>
          <w:sz w:val="18"/>
          <w:szCs w:val="18"/>
        </w:rPr>
        <w:t>10316.12</w:t>
      </w:r>
      <w:r>
        <w:rPr>
          <w:rFonts w:cs="Calibri" w:hint="eastAsia"/>
          <w:sz w:val="18"/>
          <w:szCs w:val="18"/>
        </w:rPr>
        <w:t>元。</w:t>
      </w:r>
    </w:p>
    <w:p w:rsidR="00E22F4C" w:rsidRDefault="00E22F4C">
      <w:pPr>
        <w:pStyle w:val="a4"/>
        <w:spacing w:before="72" w:beforeAutospacing="0" w:after="0" w:afterAutospacing="0" w:line="329" w:lineRule="atLeast"/>
        <w:ind w:firstLine="360"/>
        <w:divId w:val="1247569660"/>
        <w:rPr>
          <w:rFonts w:ascii="Calibri" w:hAnsi="Calibri" w:cs="Calibri"/>
          <w:sz w:val="21"/>
          <w:szCs w:val="21"/>
        </w:rPr>
      </w:pPr>
      <w:r>
        <w:rPr>
          <w:rFonts w:cs="Calibri" w:hint="eastAsia"/>
          <w:sz w:val="18"/>
          <w:szCs w:val="18"/>
        </w:rPr>
        <w:lastRenderedPageBreak/>
        <w:t>大气污染物或者水污染物的浓度值低于国家和地方规定的污染物排放标准百分之五十的，减按百分之五十征收环境保护税。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在报告期内为减少其碳排放所采取的措施及效果</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报告期内因环境问题受到行政处罚的情况</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公司或子公司名称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处罚原因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违规情形</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处罚结果</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对上市公司生产经营的影响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公司的整改措施</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其他应当公开的环境信息</w:t>
      </w:r>
    </w:p>
    <w:p w:rsidR="00E22F4C" w:rsidRDefault="00E22F4C">
      <w:pPr>
        <w:pStyle w:val="a4"/>
        <w:spacing w:before="0" w:beforeAutospacing="0" w:after="0" w:afterAutospacing="0"/>
        <w:jc w:val="both"/>
        <w:divId w:val="1742437900"/>
        <w:rPr>
          <w:rFonts w:ascii="Calibri" w:hAnsi="Calibri" w:cs="Calibri"/>
          <w:sz w:val="21"/>
          <w:szCs w:val="21"/>
        </w:rPr>
      </w:pPr>
      <w:r>
        <w:rPr>
          <w:rFonts w:cs="Calibri" w:hint="eastAsia"/>
          <w:sz w:val="18"/>
          <w:szCs w:val="18"/>
        </w:rPr>
        <w:t>公司根据环境主管部门要求设置了废水在线监控系统，委托有资质的第三方运维机构进行日常维护，</w:t>
      </w:r>
      <w:r>
        <w:rPr>
          <w:rFonts w:ascii="Calibri" w:hAnsi="Calibri" w:cs="Calibri"/>
          <w:sz w:val="18"/>
          <w:szCs w:val="18"/>
        </w:rPr>
        <w:t xml:space="preserve"> </w:t>
      </w:r>
      <w:r>
        <w:rPr>
          <w:rFonts w:cs="Calibri" w:hint="eastAsia"/>
          <w:sz w:val="18"/>
          <w:szCs w:val="18"/>
        </w:rPr>
        <w:t>保证了在线监控数据有效性；在线监控数据和自行监测数据均在政府环境主管部门网站进行公开。</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其他环保相关信息</w:t>
      </w:r>
    </w:p>
    <w:p w:rsidR="00E22F4C" w:rsidRDefault="00E22F4C">
      <w:pPr>
        <w:pStyle w:val="a4"/>
        <w:divId w:val="539636497"/>
        <w:rPr>
          <w:sz w:val="18"/>
          <w:szCs w:val="18"/>
        </w:rPr>
      </w:pPr>
      <w:r>
        <w:rPr>
          <w:rFonts w:hint="eastAsia"/>
          <w:sz w:val="18"/>
          <w:szCs w:val="18"/>
        </w:rPr>
        <w:t>无</w:t>
      </w:r>
    </w:p>
    <w:p w:rsidR="00E22F4C" w:rsidRDefault="00381575">
      <w:pPr>
        <w:pStyle w:val="2"/>
        <w:spacing w:before="300" w:after="300" w:line="320" w:lineRule="exact"/>
        <w:rPr>
          <w:rFonts w:ascii="宋体" w:eastAsia="宋体" w:hAnsi="宋体" w:cs="宋体"/>
          <w:b/>
          <w:bCs/>
          <w:sz w:val="24"/>
          <w:szCs w:val="24"/>
        </w:rPr>
      </w:pPr>
      <w:bookmarkStart w:id="92" w:name="_Toc988981"/>
      <w:r>
        <w:rPr>
          <w:rFonts w:ascii="宋体" w:eastAsia="宋体" w:hAnsi="宋体" w:cs="宋体"/>
          <w:b/>
          <w:bCs/>
          <w:sz w:val="24"/>
          <w:szCs w:val="24"/>
        </w:rPr>
        <w:t>二、社会责任情况</w:t>
      </w:r>
      <w:bookmarkEnd w:id="92"/>
    </w:p>
    <w:p w:rsidR="00251F81" w:rsidRDefault="00E22F4C">
      <w:pPr>
        <w:pStyle w:val="a4"/>
        <w:spacing w:before="0" w:beforeAutospacing="0" w:after="0" w:afterAutospacing="0"/>
        <w:jc w:val="both"/>
        <w:divId w:val="1229729177"/>
        <w:rPr>
          <w:sz w:val="18"/>
          <w:szCs w:val="18"/>
        </w:rPr>
      </w:pPr>
      <w:r>
        <w:rPr>
          <w:rFonts w:hint="eastAsia"/>
          <w:sz w:val="18"/>
          <w:szCs w:val="18"/>
        </w:rPr>
        <w:t>1、股东权益保护</w:t>
      </w:r>
    </w:p>
    <w:p w:rsidR="00251F81" w:rsidRDefault="00E22F4C">
      <w:pPr>
        <w:pStyle w:val="a4"/>
        <w:spacing w:before="0" w:beforeAutospacing="0" w:after="0" w:afterAutospacing="0"/>
        <w:jc w:val="both"/>
        <w:divId w:val="1229729177"/>
        <w:rPr>
          <w:sz w:val="18"/>
          <w:szCs w:val="18"/>
        </w:rPr>
      </w:pPr>
      <w:r>
        <w:rPr>
          <w:rFonts w:hint="eastAsia"/>
          <w:sz w:val="18"/>
          <w:szCs w:val="18"/>
        </w:rPr>
        <w:t>公司建立了较完善的治理结构，健全内部控制体系，严格遵守《公司法》、《证券法》、《上市公司信息披露管理办法》等法律、法规及《公司章程》的要求，遵循公平信息披露原则，真实、准确、完整、及时、充分地履行信息披露义务，并通过投资者电话、深交所互动易等途径与投资者沟通，认真、及时地回复投资者的提问，加强与投资者的互动交流。公司股东大会、董事会和监事会运作规范，股东大会按规定采用现场投票与网络投票相结合的方式，为股东参与公司决策提供便利。另外，公司重视对股东的投资回报，结合自身实际情况，制定合理的分红规划和利润分配方案，确保分红政策的连续性和稳定性。</w:t>
      </w:r>
    </w:p>
    <w:p w:rsidR="00251F81" w:rsidRDefault="00E22F4C">
      <w:pPr>
        <w:pStyle w:val="a4"/>
        <w:spacing w:before="0" w:beforeAutospacing="0" w:after="0" w:afterAutospacing="0"/>
        <w:jc w:val="both"/>
        <w:divId w:val="1229729177"/>
        <w:rPr>
          <w:sz w:val="18"/>
          <w:szCs w:val="18"/>
        </w:rPr>
      </w:pPr>
      <w:r>
        <w:rPr>
          <w:rFonts w:hint="eastAsia"/>
          <w:sz w:val="18"/>
          <w:szCs w:val="18"/>
        </w:rPr>
        <w:t>2、职工权益保护</w:t>
      </w:r>
    </w:p>
    <w:p w:rsidR="00251F81" w:rsidRDefault="00E22F4C">
      <w:pPr>
        <w:pStyle w:val="a4"/>
        <w:spacing w:before="0" w:beforeAutospacing="0" w:after="0" w:afterAutospacing="0"/>
        <w:jc w:val="both"/>
        <w:divId w:val="1229729177"/>
        <w:rPr>
          <w:sz w:val="18"/>
          <w:szCs w:val="18"/>
        </w:rPr>
      </w:pPr>
      <w:r>
        <w:rPr>
          <w:rFonts w:hint="eastAsia"/>
          <w:sz w:val="18"/>
          <w:szCs w:val="18"/>
        </w:rPr>
        <w:t>公司始终秉承“以人为本”的管理理念，重视员工的合法权益和发展诉求，严格遵守《中华人民共和国劳动合同法》等有关规定，与在职员工签署《劳动合同》，并为员工缴纳各项社会保险，保障员工依法享受社会福利。公司注重人才培养，从知识、技能、系统理解与创造力等方面组织员工培训，创造平等发展机会，并定期安排员工体检，组织各项文体活动，多渠道开展员工关怀，增强企业凝聚力。</w:t>
      </w:r>
    </w:p>
    <w:p w:rsidR="00251F81" w:rsidRDefault="00E22F4C">
      <w:pPr>
        <w:pStyle w:val="a4"/>
        <w:spacing w:before="0" w:beforeAutospacing="0" w:after="0" w:afterAutospacing="0"/>
        <w:jc w:val="both"/>
        <w:divId w:val="1229729177"/>
        <w:rPr>
          <w:sz w:val="18"/>
          <w:szCs w:val="18"/>
        </w:rPr>
      </w:pPr>
      <w:r>
        <w:rPr>
          <w:rFonts w:hint="eastAsia"/>
          <w:sz w:val="18"/>
          <w:szCs w:val="18"/>
        </w:rPr>
        <w:t>3、供应商、客户权益保护</w:t>
      </w:r>
    </w:p>
    <w:p w:rsidR="00251F81" w:rsidRDefault="00E22F4C">
      <w:pPr>
        <w:pStyle w:val="a4"/>
        <w:spacing w:before="0" w:beforeAutospacing="0" w:after="0" w:afterAutospacing="0"/>
        <w:jc w:val="both"/>
        <w:divId w:val="1229729177"/>
        <w:rPr>
          <w:sz w:val="18"/>
          <w:szCs w:val="18"/>
        </w:rPr>
      </w:pPr>
      <w:r>
        <w:rPr>
          <w:rFonts w:hint="eastAsia"/>
          <w:sz w:val="18"/>
          <w:szCs w:val="18"/>
        </w:rPr>
        <w:t>公司规范采购模式，优化采购流程，积极拓宽采购渠道，通过公开竞价引入新供应商，在保证货源质量的前提下最大程度降低成本，提高了效率。同时，公司建设公平透明的采购机制、通过建立供应商库等管理体系，不断加强供应商资质管理，巩固和加强协作关系，促进彼此合作共赢。公司坚守诚信经营原则，注重与各方沟通协调，构筑平等、互利的合作平台，建立深化“长期、稳定、合作、共赢”的客户关系。公司坚持以满足客户需求为导向，提供高质量产品，着力提升客户服务水平，持续提升客户感知度和满意度。</w:t>
      </w:r>
    </w:p>
    <w:p w:rsidR="00251F81" w:rsidRDefault="00E22F4C">
      <w:pPr>
        <w:pStyle w:val="a4"/>
        <w:spacing w:before="0" w:beforeAutospacing="0" w:after="0" w:afterAutospacing="0"/>
        <w:jc w:val="both"/>
        <w:divId w:val="1229729177"/>
        <w:rPr>
          <w:sz w:val="18"/>
          <w:szCs w:val="18"/>
        </w:rPr>
      </w:pPr>
      <w:r>
        <w:rPr>
          <w:rFonts w:hint="eastAsia"/>
          <w:sz w:val="18"/>
          <w:szCs w:val="18"/>
        </w:rPr>
        <w:t>4、环境保护与可持续发展</w:t>
      </w:r>
    </w:p>
    <w:p w:rsidR="00251F81" w:rsidRDefault="00E22F4C">
      <w:pPr>
        <w:pStyle w:val="a4"/>
        <w:spacing w:before="0" w:beforeAutospacing="0" w:after="0" w:afterAutospacing="0"/>
        <w:jc w:val="both"/>
        <w:divId w:val="1229729177"/>
        <w:rPr>
          <w:sz w:val="18"/>
          <w:szCs w:val="18"/>
        </w:rPr>
      </w:pPr>
      <w:r>
        <w:rPr>
          <w:rFonts w:hint="eastAsia"/>
          <w:sz w:val="18"/>
          <w:szCs w:val="18"/>
        </w:rPr>
        <w:t>安全、环保、质量是公司生存和发展的命脉，是万丈高楼的地基，是公司基业长青必须坚守的三条红线。公司在实现自身发展的同时，始终坚持发展循环经济，在可持续发展目标的指引下，努力将生产经营活动纳入绿色的运行轨道，深入开展节能挖潜，高度重视并严格控制企业运营对环境的影响，注重资源的综合利用，取得了较好的经济效益和社会效益。5、公益活动</w:t>
      </w:r>
    </w:p>
    <w:p w:rsidR="00E22F4C" w:rsidRDefault="00E22F4C">
      <w:pPr>
        <w:pStyle w:val="a4"/>
        <w:spacing w:before="0" w:beforeAutospacing="0" w:after="0" w:afterAutospacing="0"/>
        <w:jc w:val="both"/>
        <w:divId w:val="1229729177"/>
        <w:rPr>
          <w:sz w:val="18"/>
          <w:szCs w:val="18"/>
        </w:rPr>
      </w:pPr>
      <w:r>
        <w:rPr>
          <w:rFonts w:hint="eastAsia"/>
          <w:sz w:val="18"/>
          <w:szCs w:val="18"/>
        </w:rPr>
        <w:t>公司积极践行社会责任，投身社会公益事业以回馈社会。每年定期或不定期开展职工慰问、爱心捐赠、贫困救助、金秋助学等公益活动，以实际行动帮助困难职工、贫困学生和社会人士，切实履行社会责任。报告期内，公司共计向潮州慈善总会及湘桥区慈善总会捐款56万元，以实际行动促进社会和谐发展。</w:t>
      </w:r>
    </w:p>
    <w:p w:rsidR="00E22F4C" w:rsidRDefault="00381575">
      <w:pPr>
        <w:pStyle w:val="2"/>
        <w:spacing w:before="300" w:after="300" w:line="320" w:lineRule="exact"/>
        <w:rPr>
          <w:rFonts w:ascii="宋体" w:eastAsia="宋体" w:hAnsi="宋体" w:cs="宋体"/>
          <w:b/>
          <w:bCs/>
          <w:sz w:val="24"/>
          <w:szCs w:val="24"/>
        </w:rPr>
      </w:pPr>
      <w:bookmarkStart w:id="93" w:name="_Toc988982"/>
      <w:r>
        <w:rPr>
          <w:rFonts w:ascii="宋体" w:eastAsia="宋体" w:hAnsi="宋体" w:cs="宋体"/>
          <w:b/>
          <w:bCs/>
          <w:sz w:val="24"/>
          <w:szCs w:val="24"/>
        </w:rPr>
        <w:lastRenderedPageBreak/>
        <w:t>三、巩固拓展脱贫攻坚成果、乡村振兴的情况</w:t>
      </w:r>
      <w:bookmarkEnd w:id="93"/>
    </w:p>
    <w:p w:rsidR="00E22F4C" w:rsidRDefault="00E22F4C">
      <w:pPr>
        <w:pStyle w:val="a4"/>
        <w:divId w:val="23674037"/>
        <w:rPr>
          <w:sz w:val="18"/>
          <w:szCs w:val="18"/>
        </w:rPr>
      </w:pPr>
      <w:r>
        <w:rPr>
          <w:rFonts w:hint="eastAsia"/>
          <w:sz w:val="18"/>
          <w:szCs w:val="18"/>
        </w:rPr>
        <w:t>不适用</w:t>
      </w:r>
    </w:p>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94" w:name="_Toc988983"/>
      <w:r>
        <w:rPr>
          <w:rFonts w:ascii="宋体" w:eastAsia="宋体" w:hAnsi="宋体" w:cs="宋体"/>
          <w:b/>
          <w:bCs/>
          <w:sz w:val="32"/>
          <w:szCs w:val="32"/>
        </w:rPr>
        <w:lastRenderedPageBreak/>
        <w:t>第六节 重要事项</w:t>
      </w:r>
      <w:bookmarkEnd w:id="94"/>
    </w:p>
    <w:p w:rsidR="00E22F4C" w:rsidRDefault="00381575">
      <w:pPr>
        <w:pStyle w:val="2"/>
        <w:spacing w:before="300" w:after="300" w:line="320" w:lineRule="exact"/>
        <w:rPr>
          <w:rFonts w:ascii="宋体" w:eastAsia="宋体" w:hAnsi="宋体" w:cs="宋体"/>
          <w:b/>
          <w:bCs/>
          <w:sz w:val="24"/>
          <w:szCs w:val="24"/>
        </w:rPr>
      </w:pPr>
      <w:bookmarkStart w:id="95" w:name="_Toc988984"/>
      <w:r>
        <w:rPr>
          <w:rFonts w:ascii="宋体" w:eastAsia="宋体" w:hAnsi="宋体" w:cs="宋体"/>
          <w:b/>
          <w:bCs/>
          <w:sz w:val="24"/>
          <w:szCs w:val="24"/>
        </w:rPr>
        <w:t>一、承诺事项履行情况</w:t>
      </w:r>
      <w:bookmarkEnd w:id="95"/>
    </w:p>
    <w:p w:rsidR="00E22F4C" w:rsidRDefault="00381575">
      <w:pPr>
        <w:pStyle w:val="3"/>
        <w:spacing w:line="280" w:lineRule="exact"/>
        <w:jc w:val="left"/>
        <w:rPr>
          <w:rFonts w:ascii="宋体" w:hAnsi="宋体" w:cs="宋体"/>
          <w:b/>
          <w:bCs/>
        </w:rPr>
      </w:pPr>
      <w:bookmarkStart w:id="96" w:name="_Toc988985"/>
      <w:r>
        <w:rPr>
          <w:rFonts w:ascii="宋体" w:hAnsi="宋体" w:cs="宋体"/>
          <w:b/>
          <w:bCs/>
        </w:rPr>
        <w:t>1、公司实际控制人、股东、关联方、收购人以及公司等承诺相关方在报告期内履行完毕及截至报告期末尚未履行完毕的承诺事项</w:t>
      </w:r>
      <w:bookmarkEnd w:id="9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公司报告期不存在由公司实际控制人、股东、关联方、收购人以及公司等承诺相关方在报告期内履行完毕及截至报告期末尚未履行完毕的承诺事项。</w:t>
      </w:r>
    </w:p>
    <w:p w:rsidR="00E22F4C" w:rsidRDefault="00381575">
      <w:pPr>
        <w:pStyle w:val="3"/>
        <w:spacing w:line="280" w:lineRule="exact"/>
        <w:jc w:val="left"/>
        <w:rPr>
          <w:rFonts w:ascii="宋体" w:hAnsi="宋体" w:cs="宋体"/>
          <w:b/>
          <w:bCs/>
        </w:rPr>
      </w:pPr>
      <w:bookmarkStart w:id="97" w:name="_Toc988986"/>
      <w:r>
        <w:rPr>
          <w:rFonts w:ascii="宋体" w:hAnsi="宋体" w:cs="宋体"/>
          <w:b/>
          <w:bCs/>
        </w:rPr>
        <w:t>2、公司资产或项目存在盈利预测，且报告期仍处在盈利预测期间，公司就资产或项目达到原盈利预测及其原因做出说明</w:t>
      </w:r>
      <w:bookmarkEnd w:id="9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98" w:name="_Toc988987"/>
      <w:r>
        <w:rPr>
          <w:rFonts w:ascii="宋体" w:eastAsia="宋体" w:hAnsi="宋体" w:cs="宋体"/>
          <w:b/>
          <w:bCs/>
          <w:sz w:val="24"/>
          <w:szCs w:val="24"/>
        </w:rPr>
        <w:t>二、控股股东及其他关联方对上市公司的非经营性占用资金情况</w:t>
      </w:r>
      <w:bookmarkEnd w:id="9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公司报告期不存在控股股东及其他关联方对上市公司的非经营性占用资金。</w:t>
      </w:r>
    </w:p>
    <w:p w:rsidR="00E22F4C" w:rsidRDefault="00381575">
      <w:pPr>
        <w:pStyle w:val="2"/>
        <w:spacing w:before="300" w:after="300" w:line="320" w:lineRule="exact"/>
        <w:rPr>
          <w:rFonts w:ascii="宋体" w:eastAsia="宋体" w:hAnsi="宋体" w:cs="宋体"/>
          <w:b/>
          <w:bCs/>
          <w:sz w:val="24"/>
          <w:szCs w:val="24"/>
        </w:rPr>
      </w:pPr>
      <w:bookmarkStart w:id="99" w:name="_Toc988988"/>
      <w:r>
        <w:rPr>
          <w:rFonts w:ascii="宋体" w:eastAsia="宋体" w:hAnsi="宋体" w:cs="宋体"/>
          <w:b/>
          <w:bCs/>
          <w:sz w:val="24"/>
          <w:szCs w:val="24"/>
        </w:rPr>
        <w:t>三、违规对外担保情况</w:t>
      </w:r>
      <w:bookmarkEnd w:id="99"/>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公司报告期无违规对外担保情况。</w:t>
      </w:r>
    </w:p>
    <w:p w:rsidR="00E22F4C" w:rsidRDefault="00381575">
      <w:pPr>
        <w:pStyle w:val="2"/>
        <w:spacing w:before="300" w:after="300" w:line="320" w:lineRule="exact"/>
        <w:rPr>
          <w:rFonts w:ascii="宋体" w:eastAsia="宋体" w:hAnsi="宋体" w:cs="宋体"/>
          <w:b/>
          <w:bCs/>
          <w:sz w:val="24"/>
          <w:szCs w:val="24"/>
        </w:rPr>
      </w:pPr>
      <w:bookmarkStart w:id="100" w:name="_Toc988989"/>
      <w:r>
        <w:rPr>
          <w:rFonts w:ascii="宋体" w:eastAsia="宋体" w:hAnsi="宋体" w:cs="宋体"/>
          <w:b/>
          <w:bCs/>
          <w:sz w:val="24"/>
          <w:szCs w:val="24"/>
        </w:rPr>
        <w:t>四、董事会对最近一期“非标准审计报告”相关情况的说明</w:t>
      </w:r>
      <w:bookmarkEnd w:id="10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101" w:name="_Toc988990"/>
      <w:r>
        <w:rPr>
          <w:rFonts w:ascii="宋体" w:eastAsia="宋体" w:hAnsi="宋体" w:cs="宋体"/>
          <w:b/>
          <w:bCs/>
          <w:sz w:val="24"/>
          <w:szCs w:val="24"/>
        </w:rPr>
        <w:t>五、董事会、监事会、独立董事（如有）对会计师事务所本报告期“非标准审计报告”的说明</w:t>
      </w:r>
      <w:bookmarkEnd w:id="10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102" w:name="_Toc988991"/>
      <w:r>
        <w:rPr>
          <w:rFonts w:ascii="宋体" w:eastAsia="宋体" w:hAnsi="宋体" w:cs="宋体"/>
          <w:b/>
          <w:bCs/>
          <w:sz w:val="24"/>
          <w:szCs w:val="24"/>
        </w:rPr>
        <w:t xml:space="preserve">六、与上年度财务报告相比，会计政策、会计估计变更或重大会计差错更正的情况说明 </w:t>
      </w:r>
      <w:bookmarkEnd w:id="10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公司报告期无会计政策、会计估计变更或重大会计差错更正的情况。</w:t>
      </w:r>
    </w:p>
    <w:p w:rsidR="00E22F4C" w:rsidRDefault="00381575">
      <w:pPr>
        <w:pStyle w:val="2"/>
        <w:spacing w:before="300" w:after="300" w:line="320" w:lineRule="exact"/>
        <w:rPr>
          <w:rFonts w:ascii="宋体" w:eastAsia="宋体" w:hAnsi="宋体" w:cs="宋体"/>
          <w:b/>
          <w:bCs/>
          <w:sz w:val="24"/>
          <w:szCs w:val="24"/>
        </w:rPr>
      </w:pPr>
      <w:bookmarkStart w:id="103" w:name="_Toc988992"/>
      <w:r>
        <w:rPr>
          <w:rFonts w:ascii="宋体" w:eastAsia="宋体" w:hAnsi="宋体" w:cs="宋体"/>
          <w:b/>
          <w:bCs/>
          <w:sz w:val="24"/>
          <w:szCs w:val="24"/>
        </w:rPr>
        <w:t>七、与上年度财务报告相比，合并报表范围发生变化的情况说明</w:t>
      </w:r>
      <w:bookmarkEnd w:id="10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公司报告期无合并报表范围发生变化的情况。</w:t>
      </w:r>
    </w:p>
    <w:p w:rsidR="00E22F4C" w:rsidRDefault="00381575">
      <w:pPr>
        <w:pStyle w:val="2"/>
        <w:spacing w:before="300" w:after="300" w:line="320" w:lineRule="exact"/>
        <w:rPr>
          <w:rFonts w:ascii="宋体" w:eastAsia="宋体" w:hAnsi="宋体" w:cs="宋体"/>
          <w:b/>
          <w:bCs/>
          <w:sz w:val="24"/>
          <w:szCs w:val="24"/>
        </w:rPr>
      </w:pPr>
      <w:bookmarkStart w:id="104" w:name="_Toc988993"/>
      <w:r>
        <w:rPr>
          <w:rFonts w:ascii="宋体" w:eastAsia="宋体" w:hAnsi="宋体" w:cs="宋体"/>
          <w:b/>
          <w:bCs/>
          <w:sz w:val="24"/>
          <w:szCs w:val="24"/>
        </w:rPr>
        <w:lastRenderedPageBreak/>
        <w:t>八、聘任、解聘会计师事务所情况</w:t>
      </w:r>
      <w:bookmarkEnd w:id="10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现聘任的会计师事务所</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广东司农会计师事务所（特殊普通合伙）</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境内会计师事务所报酬（万元）</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周锋 马钟宏</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境内会计师事务所注册会计师审计服务的连续年限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周锋审计服务年限5年，马钟宏审计服务2年</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当期是否改聘会计师事务所</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聘请内部控制审计会计师事务所、财务顾问或保荐人情况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divId w:val="1190491385"/>
        <w:rPr>
          <w:sz w:val="18"/>
          <w:szCs w:val="18"/>
        </w:rPr>
      </w:pPr>
      <w:r>
        <w:rPr>
          <w:rFonts w:hint="eastAsia"/>
          <w:sz w:val="18"/>
          <w:szCs w:val="18"/>
        </w:rPr>
        <w:t>本年度公司聘请广东司农会计师事务所（特殊普通合伙）为本公司2022年度内部控制审计机构，审计费20万元。</w:t>
      </w:r>
    </w:p>
    <w:p w:rsidR="00E22F4C" w:rsidRDefault="00381575">
      <w:pPr>
        <w:pStyle w:val="2"/>
        <w:spacing w:before="300" w:after="300" w:line="320" w:lineRule="exact"/>
        <w:rPr>
          <w:rFonts w:ascii="宋体" w:eastAsia="宋体" w:hAnsi="宋体" w:cs="宋体"/>
          <w:b/>
          <w:bCs/>
          <w:sz w:val="24"/>
          <w:szCs w:val="24"/>
        </w:rPr>
      </w:pPr>
      <w:bookmarkStart w:id="105" w:name="_Toc988994"/>
      <w:r>
        <w:rPr>
          <w:rFonts w:ascii="宋体" w:eastAsia="宋体" w:hAnsi="宋体" w:cs="宋体"/>
          <w:b/>
          <w:bCs/>
          <w:sz w:val="24"/>
          <w:szCs w:val="24"/>
        </w:rPr>
        <w:t>九、年度报告披露后面临退市情况</w:t>
      </w:r>
      <w:bookmarkEnd w:id="10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106" w:name="_Toc988995"/>
      <w:r>
        <w:rPr>
          <w:rFonts w:ascii="宋体" w:eastAsia="宋体" w:hAnsi="宋体" w:cs="宋体"/>
          <w:b/>
          <w:bCs/>
          <w:sz w:val="24"/>
          <w:szCs w:val="24"/>
        </w:rPr>
        <w:t>十、破产重整相关事项</w:t>
      </w:r>
      <w:bookmarkEnd w:id="10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公司报告期未发生破产重整相关事项。</w:t>
      </w:r>
    </w:p>
    <w:p w:rsidR="00E22F4C" w:rsidRDefault="00381575">
      <w:pPr>
        <w:pStyle w:val="2"/>
        <w:spacing w:before="300" w:after="300" w:line="320" w:lineRule="exact"/>
        <w:rPr>
          <w:rFonts w:ascii="宋体" w:eastAsia="宋体" w:hAnsi="宋体" w:cs="宋体"/>
          <w:b/>
          <w:bCs/>
          <w:sz w:val="24"/>
          <w:szCs w:val="24"/>
        </w:rPr>
      </w:pPr>
      <w:bookmarkStart w:id="107" w:name="_Toc988996"/>
      <w:r>
        <w:rPr>
          <w:rFonts w:ascii="宋体" w:eastAsia="宋体" w:hAnsi="宋体" w:cs="宋体"/>
          <w:b/>
          <w:bCs/>
          <w:sz w:val="24"/>
          <w:szCs w:val="24"/>
        </w:rPr>
        <w:t>十一、重大诉讼、仲裁事项</w:t>
      </w:r>
      <w:bookmarkEnd w:id="10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诉讼(仲裁)基本情况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涉案金额（万元）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是否形成预计负债</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诉讼(仲裁)进展</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诉讼(仲裁)审理结果及影响</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诉讼(仲裁)判决执行情况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披露索引</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报告期内公司或子公司作为原告的非重大诉讼或仲裁事项</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381.62</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报告期内公司或子公司作为被告的非重大诉讼或仲裁事项</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1,223.79</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bl>
    <w:p w:rsidR="00E22F4C" w:rsidRDefault="00381575">
      <w:pPr>
        <w:pStyle w:val="2"/>
        <w:spacing w:before="300" w:after="300" w:line="320" w:lineRule="exact"/>
        <w:rPr>
          <w:rFonts w:ascii="宋体" w:eastAsia="宋体" w:hAnsi="宋体" w:cs="宋体"/>
          <w:b/>
          <w:bCs/>
          <w:sz w:val="24"/>
          <w:szCs w:val="24"/>
        </w:rPr>
      </w:pPr>
      <w:bookmarkStart w:id="108" w:name="_Toc988997"/>
      <w:r>
        <w:rPr>
          <w:rFonts w:ascii="宋体" w:eastAsia="宋体" w:hAnsi="宋体" w:cs="宋体"/>
          <w:b/>
          <w:bCs/>
          <w:sz w:val="24"/>
          <w:szCs w:val="24"/>
        </w:rPr>
        <w:t>十二、处罚及整改情况</w:t>
      </w:r>
      <w:bookmarkEnd w:id="10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公司报告期不存在处罚及整改情况。</w:t>
      </w:r>
    </w:p>
    <w:p w:rsidR="00E22F4C" w:rsidRDefault="00381575">
      <w:pPr>
        <w:pStyle w:val="2"/>
        <w:spacing w:before="300" w:after="300" w:line="320" w:lineRule="exact"/>
        <w:rPr>
          <w:rFonts w:ascii="宋体" w:eastAsia="宋体" w:hAnsi="宋体" w:cs="宋体"/>
          <w:b/>
          <w:bCs/>
          <w:sz w:val="24"/>
          <w:szCs w:val="24"/>
        </w:rPr>
      </w:pPr>
      <w:bookmarkStart w:id="109" w:name="_Toc988998"/>
      <w:r>
        <w:rPr>
          <w:rFonts w:ascii="宋体" w:eastAsia="宋体" w:hAnsi="宋体" w:cs="宋体"/>
          <w:b/>
          <w:bCs/>
          <w:sz w:val="24"/>
          <w:szCs w:val="24"/>
        </w:rPr>
        <w:lastRenderedPageBreak/>
        <w:t>十三、公司及其控股股东、实际控制人的诚信状况</w:t>
      </w:r>
      <w:bookmarkEnd w:id="10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110" w:name="_Toc988999"/>
      <w:r>
        <w:rPr>
          <w:rFonts w:ascii="宋体" w:eastAsia="宋体" w:hAnsi="宋体" w:cs="宋体"/>
          <w:b/>
          <w:bCs/>
          <w:sz w:val="24"/>
          <w:szCs w:val="24"/>
        </w:rPr>
        <w:t>十四、重大关联交易</w:t>
      </w:r>
      <w:bookmarkEnd w:id="110"/>
    </w:p>
    <w:p w:rsidR="00E22F4C" w:rsidRDefault="00381575">
      <w:pPr>
        <w:pStyle w:val="3"/>
        <w:spacing w:line="280" w:lineRule="exact"/>
        <w:jc w:val="left"/>
        <w:rPr>
          <w:rFonts w:ascii="宋体" w:hAnsi="宋体" w:cs="宋体"/>
          <w:b/>
          <w:bCs/>
        </w:rPr>
      </w:pPr>
      <w:bookmarkStart w:id="111" w:name="_Toc989000"/>
      <w:r>
        <w:rPr>
          <w:rFonts w:ascii="宋体" w:hAnsi="宋体" w:cs="宋体"/>
          <w:b/>
          <w:bCs/>
        </w:rPr>
        <w:t>1、与日常经营相关的关联交易</w:t>
      </w:r>
      <w:bookmarkEnd w:id="11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公司报告期未发生与日常经营相关的关联交易。</w:t>
      </w:r>
    </w:p>
    <w:p w:rsidR="00E22F4C" w:rsidRDefault="00381575">
      <w:pPr>
        <w:pStyle w:val="3"/>
        <w:spacing w:line="280" w:lineRule="exact"/>
        <w:jc w:val="left"/>
        <w:rPr>
          <w:rFonts w:ascii="宋体" w:hAnsi="宋体" w:cs="宋体"/>
          <w:b/>
          <w:bCs/>
        </w:rPr>
      </w:pPr>
      <w:bookmarkStart w:id="112" w:name="_Toc989001"/>
      <w:r>
        <w:rPr>
          <w:rFonts w:ascii="宋体" w:hAnsi="宋体" w:cs="宋体"/>
          <w:b/>
          <w:bCs/>
        </w:rPr>
        <w:t>2、资产或股权收购、出售发生的关联交易</w:t>
      </w:r>
      <w:bookmarkEnd w:id="11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公司报告期未发生资产或股权收购、出售的关联交易。</w:t>
      </w:r>
    </w:p>
    <w:p w:rsidR="00E22F4C" w:rsidRDefault="00381575">
      <w:pPr>
        <w:pStyle w:val="3"/>
        <w:spacing w:line="280" w:lineRule="exact"/>
        <w:jc w:val="left"/>
        <w:rPr>
          <w:rFonts w:ascii="宋体" w:hAnsi="宋体" w:cs="宋体"/>
          <w:b/>
          <w:bCs/>
        </w:rPr>
      </w:pPr>
      <w:bookmarkStart w:id="113" w:name="_Toc989002"/>
      <w:r>
        <w:rPr>
          <w:rFonts w:ascii="宋体" w:hAnsi="宋体" w:cs="宋体"/>
          <w:b/>
          <w:bCs/>
        </w:rPr>
        <w:t>3、共同对外投资的关联交易</w:t>
      </w:r>
      <w:bookmarkEnd w:id="11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公司报告期未发生共同对外投资的关联交易。</w:t>
      </w:r>
    </w:p>
    <w:p w:rsidR="00E22F4C" w:rsidRDefault="00381575">
      <w:pPr>
        <w:pStyle w:val="3"/>
        <w:spacing w:line="280" w:lineRule="exact"/>
        <w:jc w:val="left"/>
        <w:rPr>
          <w:rFonts w:ascii="宋体" w:hAnsi="宋体" w:cs="宋体"/>
          <w:b/>
          <w:bCs/>
        </w:rPr>
      </w:pPr>
      <w:bookmarkStart w:id="114" w:name="_Toc989003"/>
      <w:r>
        <w:rPr>
          <w:rFonts w:ascii="宋体" w:hAnsi="宋体" w:cs="宋体"/>
          <w:b/>
          <w:bCs/>
        </w:rPr>
        <w:t>4、关联债权债务往来</w:t>
      </w:r>
      <w:bookmarkEnd w:id="11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公司报告期不存在关联债权债务往来。</w:t>
      </w:r>
    </w:p>
    <w:p w:rsidR="00E22F4C" w:rsidRDefault="00381575">
      <w:pPr>
        <w:pStyle w:val="3"/>
        <w:spacing w:line="280" w:lineRule="exact"/>
        <w:jc w:val="left"/>
        <w:rPr>
          <w:rFonts w:ascii="宋体" w:hAnsi="宋体" w:cs="宋体"/>
          <w:b/>
          <w:bCs/>
        </w:rPr>
      </w:pPr>
      <w:bookmarkStart w:id="115" w:name="_Toc989004"/>
      <w:r>
        <w:rPr>
          <w:rFonts w:ascii="宋体" w:hAnsi="宋体" w:cs="宋体"/>
          <w:b/>
          <w:bCs/>
        </w:rPr>
        <w:t>5、与存在关联关系的财务公司的往来情况</w:t>
      </w:r>
      <w:bookmarkEnd w:id="11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公司与存在关联关系的财务公司与关联方之间不存在存款、贷款、授信或其他金融业务。</w:t>
      </w:r>
    </w:p>
    <w:p w:rsidR="00E22F4C" w:rsidRDefault="00381575">
      <w:pPr>
        <w:pStyle w:val="3"/>
        <w:spacing w:line="280" w:lineRule="exact"/>
        <w:jc w:val="left"/>
        <w:rPr>
          <w:rFonts w:ascii="宋体" w:hAnsi="宋体" w:cs="宋体"/>
          <w:b/>
          <w:bCs/>
        </w:rPr>
      </w:pPr>
      <w:bookmarkStart w:id="116" w:name="_Toc989005"/>
      <w:r>
        <w:rPr>
          <w:rFonts w:ascii="宋体" w:hAnsi="宋体" w:cs="宋体"/>
          <w:b/>
          <w:bCs/>
        </w:rPr>
        <w:t>6、公司控股的财务公司与关联方的往来情况</w:t>
      </w:r>
      <w:bookmarkEnd w:id="11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E22F4C">
      <w:pPr>
        <w:spacing w:before="40" w:after="40" w:line="0" w:lineRule="atLeast"/>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公司控股的财务公司与关联方之间不存在存款、贷款、授信或其他金融业务。</w:t>
      </w:r>
    </w:p>
    <w:p w:rsidR="00E22F4C" w:rsidRDefault="00381575">
      <w:pPr>
        <w:pStyle w:val="3"/>
        <w:spacing w:line="280" w:lineRule="exact"/>
        <w:jc w:val="left"/>
        <w:rPr>
          <w:rFonts w:ascii="宋体" w:hAnsi="宋体" w:cs="宋体"/>
          <w:b/>
          <w:bCs/>
        </w:rPr>
      </w:pPr>
      <w:bookmarkStart w:id="117" w:name="_Toc989006"/>
      <w:r>
        <w:rPr>
          <w:rFonts w:ascii="宋体" w:hAnsi="宋体" w:cs="宋体"/>
          <w:b/>
          <w:bCs/>
        </w:rPr>
        <w:t>7、其他重大关联交易</w:t>
      </w:r>
      <w:bookmarkEnd w:id="11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公司报告期无其他重大关联交易。</w:t>
      </w:r>
    </w:p>
    <w:p w:rsidR="00E22F4C" w:rsidRDefault="00381575">
      <w:pPr>
        <w:pStyle w:val="2"/>
        <w:spacing w:before="300" w:after="300" w:line="320" w:lineRule="exact"/>
        <w:rPr>
          <w:rFonts w:ascii="宋体" w:eastAsia="宋体" w:hAnsi="宋体" w:cs="宋体"/>
          <w:b/>
          <w:bCs/>
          <w:sz w:val="24"/>
          <w:szCs w:val="24"/>
        </w:rPr>
      </w:pPr>
      <w:bookmarkStart w:id="118" w:name="_Toc989007"/>
      <w:r>
        <w:rPr>
          <w:rFonts w:ascii="宋体" w:eastAsia="宋体" w:hAnsi="宋体" w:cs="宋体"/>
          <w:b/>
          <w:bCs/>
          <w:sz w:val="24"/>
          <w:szCs w:val="24"/>
        </w:rPr>
        <w:lastRenderedPageBreak/>
        <w:t>十五、重大合同及其履行情况</w:t>
      </w:r>
      <w:bookmarkEnd w:id="118"/>
    </w:p>
    <w:p w:rsidR="00E22F4C" w:rsidRDefault="00381575">
      <w:pPr>
        <w:pStyle w:val="3"/>
        <w:spacing w:line="280" w:lineRule="exact"/>
        <w:jc w:val="left"/>
        <w:rPr>
          <w:rFonts w:ascii="宋体" w:hAnsi="宋体" w:cs="宋体"/>
          <w:b/>
          <w:bCs/>
        </w:rPr>
      </w:pPr>
      <w:bookmarkStart w:id="119" w:name="_Toc989008"/>
      <w:r>
        <w:rPr>
          <w:rFonts w:ascii="宋体" w:hAnsi="宋体" w:cs="宋体"/>
          <w:b/>
          <w:bCs/>
        </w:rPr>
        <w:t>1、托管、承包、租赁事项情况</w:t>
      </w:r>
      <w:bookmarkEnd w:id="119"/>
    </w:p>
    <w:p w:rsidR="00E22F4C" w:rsidRDefault="00381575">
      <w:pPr>
        <w:keepNext/>
        <w:keepLines/>
        <w:spacing w:before="300" w:after="300" w:line="280" w:lineRule="exact"/>
        <w:outlineLvl w:val="3"/>
        <w:rPr>
          <w:rFonts w:ascii="宋体" w:eastAsia="宋体" w:hAnsi="宋体" w:cs="宋体"/>
          <w:b/>
          <w:bCs/>
          <w:sz w:val="18"/>
          <w:szCs w:val="18"/>
        </w:rPr>
      </w:pPr>
      <w:bookmarkStart w:id="120" w:name="_Toc989009"/>
      <w:r>
        <w:rPr>
          <w:rFonts w:ascii="宋体" w:eastAsia="宋体" w:hAnsi="宋体" w:cs="宋体"/>
          <w:b/>
          <w:bCs/>
          <w:sz w:val="18"/>
          <w:szCs w:val="18"/>
        </w:rPr>
        <w:t>（1） 托管情况</w:t>
      </w:r>
      <w:bookmarkEnd w:id="12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公司报告期不存在托管情况。</w:t>
      </w:r>
    </w:p>
    <w:p w:rsidR="00E22F4C" w:rsidRDefault="00381575">
      <w:pPr>
        <w:keepNext/>
        <w:keepLines/>
        <w:spacing w:before="300" w:after="300" w:line="280" w:lineRule="exact"/>
        <w:outlineLvl w:val="3"/>
        <w:rPr>
          <w:rFonts w:ascii="宋体" w:eastAsia="宋体" w:hAnsi="宋体" w:cs="宋体"/>
          <w:b/>
          <w:bCs/>
          <w:sz w:val="18"/>
          <w:szCs w:val="18"/>
        </w:rPr>
      </w:pPr>
      <w:bookmarkStart w:id="121" w:name="_Toc989010"/>
      <w:r>
        <w:rPr>
          <w:rFonts w:ascii="宋体" w:eastAsia="宋体" w:hAnsi="宋体" w:cs="宋体"/>
          <w:b/>
          <w:bCs/>
          <w:sz w:val="18"/>
          <w:szCs w:val="18"/>
        </w:rPr>
        <w:t>（2） 承包情况</w:t>
      </w:r>
      <w:bookmarkEnd w:id="12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公司报告期不存在承包情况。</w:t>
      </w:r>
    </w:p>
    <w:p w:rsidR="00E22F4C" w:rsidRDefault="00381575">
      <w:pPr>
        <w:keepNext/>
        <w:keepLines/>
        <w:spacing w:before="300" w:after="300" w:line="280" w:lineRule="exact"/>
        <w:outlineLvl w:val="3"/>
        <w:rPr>
          <w:rFonts w:ascii="宋体" w:eastAsia="宋体" w:hAnsi="宋体" w:cs="宋体"/>
          <w:b/>
          <w:bCs/>
          <w:sz w:val="18"/>
          <w:szCs w:val="18"/>
        </w:rPr>
      </w:pPr>
      <w:bookmarkStart w:id="122" w:name="_Toc989011"/>
      <w:r>
        <w:rPr>
          <w:rFonts w:ascii="宋体" w:eastAsia="宋体" w:hAnsi="宋体" w:cs="宋体"/>
          <w:b/>
          <w:bCs/>
          <w:sz w:val="18"/>
          <w:szCs w:val="18"/>
        </w:rPr>
        <w:t>（3） 租赁情况</w:t>
      </w:r>
      <w:bookmarkEnd w:id="12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公司报告期不存在租赁情况。</w:t>
      </w:r>
    </w:p>
    <w:p w:rsidR="00E22F4C" w:rsidRDefault="00381575">
      <w:pPr>
        <w:pStyle w:val="3"/>
        <w:spacing w:line="280" w:lineRule="exact"/>
        <w:jc w:val="left"/>
        <w:rPr>
          <w:rFonts w:ascii="宋体" w:hAnsi="宋体" w:cs="宋体"/>
          <w:b/>
          <w:bCs/>
        </w:rPr>
      </w:pPr>
      <w:bookmarkStart w:id="123" w:name="_Toc989012"/>
      <w:r>
        <w:rPr>
          <w:rFonts w:ascii="宋体" w:hAnsi="宋体" w:cs="宋体"/>
          <w:b/>
          <w:bCs/>
        </w:rPr>
        <w:t>2、重大担保</w:t>
      </w:r>
      <w:bookmarkEnd w:id="12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877"/>
        <w:gridCol w:w="876"/>
        <w:gridCol w:w="877"/>
        <w:gridCol w:w="876"/>
        <w:gridCol w:w="877"/>
        <w:gridCol w:w="876"/>
        <w:gridCol w:w="876"/>
        <w:gridCol w:w="876"/>
        <w:gridCol w:w="876"/>
        <w:gridCol w:w="877"/>
      </w:tblGrid>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公司及其子公司对外担保情况（不包括对子公司的担保）</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是否为关联方担保</w:t>
            </w:r>
          </w:p>
        </w:tc>
      </w:tr>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公司对子公司的担保情况</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是否为关联方担保</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2020年04月28日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2020年07月01日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3年</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2020年04月28日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2020年11月06日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6年</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2020年04月28日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2021年01月18日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3年</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2022年04月29日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2022年05月10日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4年</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w:t>
            </w:r>
            <w:r>
              <w:rPr>
                <w:rFonts w:ascii="宋体" w:eastAsia="宋体" w:hAnsi="宋体" w:cs="宋体"/>
                <w:sz w:val="18"/>
                <w:szCs w:val="18"/>
              </w:rPr>
              <w:lastRenderedPageBreak/>
              <w:t>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2022年</w:t>
            </w:r>
            <w:r>
              <w:rPr>
                <w:rFonts w:ascii="宋体" w:eastAsia="宋体" w:hAnsi="宋体" w:cs="宋体"/>
                <w:sz w:val="18"/>
                <w:szCs w:val="18"/>
              </w:rPr>
              <w:lastRenderedPageBreak/>
              <w:t>04月29日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400,000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w:t>
            </w:r>
            <w:r>
              <w:rPr>
                <w:rFonts w:ascii="宋体" w:eastAsia="宋体" w:hAnsi="宋体" w:cs="宋体"/>
                <w:sz w:val="18"/>
                <w:szCs w:val="18"/>
              </w:rPr>
              <w:lastRenderedPageBreak/>
              <w:t>09月19日</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1,600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连带责</w:t>
            </w:r>
            <w:r>
              <w:rPr>
                <w:rFonts w:ascii="宋体" w:eastAsia="宋体" w:hAnsi="宋体" w:cs="宋体"/>
                <w:sz w:val="18"/>
                <w:szCs w:val="18"/>
              </w:rPr>
              <w:lastRenderedPageBreak/>
              <w:t>任保证</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是</w:t>
            </w:r>
          </w:p>
        </w:tc>
      </w:tr>
      <w:tr w:rsidR="00E22F4C">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报告期内审批对子公司担保额度合计（B1）</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报告期内对子公司担保实际发生额合计（B2）</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9,600</w:t>
            </w:r>
          </w:p>
        </w:tc>
      </w:tr>
      <w:tr w:rsidR="00E22F4C">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报告期末已审批的对子公司担保额度合计（B3）</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报告期末对子公司实际担保余额合计（B4）</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47,200</w:t>
            </w:r>
          </w:p>
        </w:tc>
      </w:tr>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子公司对子公司的担保情况</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是否为关联方担保</w:t>
            </w:r>
          </w:p>
        </w:tc>
      </w:tr>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公司担保总额（即前三大项的合计）</w:t>
            </w:r>
          </w:p>
        </w:tc>
      </w:tr>
      <w:tr w:rsidR="00E22F4C">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报告期内审批担保额度合计（A1+B1+C1）</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报告期内担保实际发生额合计（A2+B2+C2）</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9,600</w:t>
            </w:r>
          </w:p>
        </w:tc>
      </w:tr>
      <w:tr w:rsidR="00E22F4C">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报告期末已审批的担保额度合计（A3+B3+C3）</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报告期末实际担保余额合计（A4+B4+C4）</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47,200</w:t>
            </w:r>
          </w:p>
        </w:tc>
      </w:tr>
      <w:tr w:rsidR="00E22F4C">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实际担保总额（即A4+B4+C4）占公司净资产的比例</w:t>
            </w:r>
          </w:p>
        </w:tc>
        <w:tc>
          <w:tcPr>
            <w:tcW w:w="6134"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49.35%</w:t>
            </w:r>
          </w:p>
        </w:tc>
      </w:tr>
      <w:tr w:rsidR="00E22F4C">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采用复合方式担保的具体情况说明</w:t>
      </w:r>
    </w:p>
    <w:p w:rsidR="00E22F4C" w:rsidRDefault="00E22F4C">
      <w:pPr>
        <w:divId w:val="258300677"/>
        <w:rPr>
          <w:sz w:val="18"/>
          <w:szCs w:val="18"/>
        </w:rPr>
      </w:pPr>
    </w:p>
    <w:p w:rsidR="00E22F4C" w:rsidRDefault="00381575">
      <w:pPr>
        <w:pStyle w:val="3"/>
        <w:spacing w:line="280" w:lineRule="exact"/>
        <w:jc w:val="left"/>
        <w:rPr>
          <w:rFonts w:ascii="宋体" w:hAnsi="宋体" w:cs="宋体"/>
          <w:b/>
          <w:bCs/>
        </w:rPr>
      </w:pPr>
      <w:bookmarkStart w:id="124" w:name="_Toc989013"/>
      <w:r>
        <w:rPr>
          <w:rFonts w:ascii="宋体" w:hAnsi="宋体" w:cs="宋体"/>
          <w:b/>
          <w:bCs/>
        </w:rPr>
        <w:t>3、委托他人进行现金资产管理情况</w:t>
      </w:r>
      <w:bookmarkEnd w:id="124"/>
    </w:p>
    <w:p w:rsidR="00E22F4C" w:rsidRDefault="00381575">
      <w:pPr>
        <w:keepNext/>
        <w:keepLines/>
        <w:spacing w:before="300" w:after="300" w:line="280" w:lineRule="exact"/>
        <w:outlineLvl w:val="3"/>
        <w:rPr>
          <w:rFonts w:ascii="宋体" w:eastAsia="宋体" w:hAnsi="宋体" w:cs="宋体"/>
          <w:b/>
          <w:bCs/>
          <w:sz w:val="18"/>
          <w:szCs w:val="18"/>
        </w:rPr>
      </w:pPr>
      <w:bookmarkStart w:id="125" w:name="_Toc989014"/>
      <w:r>
        <w:rPr>
          <w:rFonts w:ascii="宋体" w:eastAsia="宋体" w:hAnsi="宋体" w:cs="宋体"/>
          <w:b/>
          <w:bCs/>
          <w:sz w:val="18"/>
          <w:szCs w:val="18"/>
        </w:rPr>
        <w:t>（1） 委托理财情况</w:t>
      </w:r>
      <w:bookmarkEnd w:id="12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报告期内委托理财概况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7"/>
        <w:gridCol w:w="1608"/>
        <w:gridCol w:w="1606"/>
        <w:gridCol w:w="1606"/>
        <w:gridCol w:w="1606"/>
        <w:gridCol w:w="1606"/>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具体类型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委托理财的资金来源</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委托理财发生额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未到期余额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逾期未收回的金额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逾期未收回理财已计提减值金额</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银行理财产品</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募集资金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E22F4C">
        <w:trPr>
          <w:trHeight w:val="240"/>
        </w:trPr>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单项金额重大或安全性较低、流动性较差的高风险委托理财具体情况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委托理财出现预期无法收回本金或存在其他可能导致减值的情形</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 w:val="18"/>
          <w:szCs w:val="18"/>
        </w:rPr>
      </w:pPr>
      <w:bookmarkStart w:id="126" w:name="_Toc989015"/>
      <w:r>
        <w:rPr>
          <w:rFonts w:ascii="宋体" w:eastAsia="宋体" w:hAnsi="宋体" w:cs="宋体"/>
          <w:b/>
          <w:bCs/>
          <w:sz w:val="18"/>
          <w:szCs w:val="18"/>
        </w:rPr>
        <w:t>（2） 委托贷款情况</w:t>
      </w:r>
      <w:bookmarkEnd w:id="12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公司报告期不存在委托贷款。</w:t>
      </w:r>
    </w:p>
    <w:p w:rsidR="00E22F4C" w:rsidRDefault="00381575">
      <w:pPr>
        <w:pStyle w:val="3"/>
        <w:spacing w:line="280" w:lineRule="exact"/>
        <w:jc w:val="left"/>
        <w:rPr>
          <w:rFonts w:ascii="宋体" w:hAnsi="宋体" w:cs="宋体"/>
          <w:b/>
          <w:bCs/>
        </w:rPr>
      </w:pPr>
      <w:bookmarkStart w:id="127" w:name="_Toc989016"/>
      <w:r>
        <w:rPr>
          <w:rFonts w:ascii="宋体" w:hAnsi="宋体" w:cs="宋体"/>
          <w:b/>
          <w:bCs/>
        </w:rPr>
        <w:lastRenderedPageBreak/>
        <w:t>4、其他重大合同</w:t>
      </w:r>
      <w:bookmarkEnd w:id="12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公司报告期不存在其他重大合同。</w:t>
      </w:r>
    </w:p>
    <w:p w:rsidR="00E22F4C" w:rsidRDefault="00381575">
      <w:pPr>
        <w:pStyle w:val="2"/>
        <w:spacing w:before="300" w:after="300" w:line="320" w:lineRule="exact"/>
        <w:rPr>
          <w:rFonts w:ascii="宋体" w:eastAsia="宋体" w:hAnsi="宋体" w:cs="宋体"/>
          <w:b/>
          <w:bCs/>
          <w:sz w:val="24"/>
          <w:szCs w:val="24"/>
        </w:rPr>
      </w:pPr>
      <w:bookmarkStart w:id="128" w:name="_Toc989017"/>
      <w:r>
        <w:rPr>
          <w:rFonts w:ascii="宋体" w:eastAsia="宋体" w:hAnsi="宋体" w:cs="宋体"/>
          <w:b/>
          <w:bCs/>
          <w:sz w:val="24"/>
          <w:szCs w:val="24"/>
        </w:rPr>
        <w:t>十六、其他重大事项的说明</w:t>
      </w:r>
      <w:bookmarkEnd w:id="12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公司报告期不存在需要说明的其他重大事项。</w:t>
      </w:r>
    </w:p>
    <w:p w:rsidR="00E22F4C" w:rsidRDefault="00381575">
      <w:pPr>
        <w:pStyle w:val="2"/>
        <w:spacing w:before="300" w:after="300" w:line="320" w:lineRule="exact"/>
        <w:rPr>
          <w:rFonts w:ascii="宋体" w:eastAsia="宋体" w:hAnsi="宋体" w:cs="宋体"/>
          <w:b/>
          <w:bCs/>
          <w:sz w:val="24"/>
          <w:szCs w:val="24"/>
        </w:rPr>
      </w:pPr>
      <w:bookmarkStart w:id="129" w:name="_Toc989018"/>
      <w:r>
        <w:rPr>
          <w:rFonts w:ascii="宋体" w:eastAsia="宋体" w:hAnsi="宋体" w:cs="宋体"/>
          <w:b/>
          <w:bCs/>
          <w:sz w:val="24"/>
          <w:szCs w:val="24"/>
        </w:rPr>
        <w:t>十七、公司子公司重大事项</w:t>
      </w:r>
      <w:bookmarkEnd w:id="12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130" w:name="_Toc989019"/>
      <w:r>
        <w:rPr>
          <w:rFonts w:ascii="宋体" w:eastAsia="宋体" w:hAnsi="宋体" w:cs="宋体"/>
          <w:b/>
          <w:bCs/>
          <w:sz w:val="32"/>
          <w:szCs w:val="32"/>
        </w:rPr>
        <w:lastRenderedPageBreak/>
        <w:t>第七节 股份变动及股东情况</w:t>
      </w:r>
      <w:bookmarkEnd w:id="130"/>
    </w:p>
    <w:p w:rsidR="00E22F4C" w:rsidRDefault="00381575">
      <w:pPr>
        <w:pStyle w:val="2"/>
        <w:spacing w:before="300" w:after="300" w:line="320" w:lineRule="exact"/>
        <w:rPr>
          <w:rFonts w:ascii="宋体" w:eastAsia="宋体" w:hAnsi="宋体" w:cs="宋体"/>
          <w:b/>
          <w:bCs/>
          <w:sz w:val="24"/>
          <w:szCs w:val="24"/>
        </w:rPr>
      </w:pPr>
      <w:bookmarkStart w:id="131" w:name="_Toc989020"/>
      <w:r>
        <w:rPr>
          <w:rFonts w:ascii="宋体" w:eastAsia="宋体" w:hAnsi="宋体" w:cs="宋体"/>
          <w:b/>
          <w:bCs/>
          <w:sz w:val="24"/>
          <w:szCs w:val="24"/>
        </w:rPr>
        <w:t>一、股份变动情况</w:t>
      </w:r>
      <w:bookmarkEnd w:id="131"/>
    </w:p>
    <w:p w:rsidR="00E22F4C" w:rsidRDefault="00381575">
      <w:pPr>
        <w:pStyle w:val="3"/>
        <w:spacing w:line="280" w:lineRule="exact"/>
        <w:jc w:val="left"/>
        <w:rPr>
          <w:rFonts w:ascii="宋体" w:hAnsi="宋体" w:cs="宋体"/>
          <w:b/>
          <w:bCs/>
        </w:rPr>
      </w:pPr>
      <w:bookmarkStart w:id="132" w:name="_Toc989021"/>
      <w:r>
        <w:rPr>
          <w:rFonts w:ascii="宋体" w:hAnsi="宋体" w:cs="宋体"/>
          <w:b/>
          <w:bCs/>
        </w:rPr>
        <w:t>1、股份变动情况</w:t>
      </w:r>
      <w:bookmarkEnd w:id="13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63"/>
        <w:gridCol w:w="964"/>
        <w:gridCol w:w="964"/>
        <w:gridCol w:w="964"/>
        <w:gridCol w:w="964"/>
        <w:gridCol w:w="964"/>
        <w:gridCol w:w="964"/>
        <w:gridCol w:w="964"/>
        <w:gridCol w:w="964"/>
        <w:gridCol w:w="964"/>
      </w:tblGrid>
      <w:tr w:rsidR="00E22F4C">
        <w:trPr>
          <w:trHeight w:val="240"/>
        </w:trPr>
        <w:tc>
          <w:tcPr>
            <w:tcW w:w="96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本次变动前</w:t>
            </w:r>
          </w:p>
        </w:tc>
        <w:tc>
          <w:tcPr>
            <w:tcW w:w="482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本次变动增减（＋，－）</w:t>
            </w:r>
          </w:p>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本次变动后</w:t>
            </w:r>
          </w:p>
        </w:tc>
      </w:tr>
      <w:tr w:rsidR="00E22F4C">
        <w:trPr>
          <w:trHeight w:val="240"/>
        </w:trPr>
        <w:tc>
          <w:tcPr>
            <w:tcW w:w="964"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发行新股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送股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公积金转股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一、有限售条件股份</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65,419,013</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23.56%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-3,732,700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-3,732,700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61,686,313</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22.22%</w:t>
            </w: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1、国家持股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2、国有法人持股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3、其他内资持股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65,419,013</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23.56%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-3,732,700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-3,732,700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61,686,313</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22.22%</w:t>
            </w: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其中：境内法人持股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境内自然人持股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65,419,013</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23.56%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-3,732,700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-3,732,700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61,686,313</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22.22%</w:t>
            </w: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4、外资持股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其中：境外法人持股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境外自然人持股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二、无限售条件股份</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212,252,639</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76.44%</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3,737,096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3,737,096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215,989,735</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77.78%</w:t>
            </w: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1、人民币普通股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212,252,639</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76.44%</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3,737,096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3,737,096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215,989,735</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77.78%</w:t>
            </w: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2、境内上市的外资股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3、境外上市的外资股</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4、其</w:t>
            </w:r>
            <w:r>
              <w:rPr>
                <w:rFonts w:ascii="宋体" w:eastAsia="宋体" w:hAnsi="宋体" w:cs="宋体"/>
                <w:sz w:val="18"/>
                <w:szCs w:val="18"/>
              </w:rPr>
              <w:lastRenderedPageBreak/>
              <w:t>他</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三、股份总数</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277,676,048</w:t>
            </w:r>
          </w:p>
        </w:tc>
        <w:tc>
          <w:tcPr>
            <w:tcW w:w="964"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股份变动的原因</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spacing w:before="0" w:beforeAutospacing="0" w:after="0" w:afterAutospacing="0"/>
        <w:divId w:val="1587038151"/>
        <w:rPr>
          <w:sz w:val="18"/>
          <w:szCs w:val="18"/>
        </w:rPr>
      </w:pPr>
      <w:r>
        <w:rPr>
          <w:rFonts w:hint="eastAsia"/>
          <w:color w:val="000000"/>
          <w:sz w:val="18"/>
          <w:szCs w:val="18"/>
        </w:rPr>
        <w:t>报告期内，公司可转债转股、回购注销部分限制性股票、发行</w:t>
      </w:r>
      <w:r>
        <w:rPr>
          <w:rFonts w:ascii="Times New Roman" w:hAnsi="Times New Roman" w:cs="Times New Roman"/>
          <w:color w:val="000000"/>
          <w:sz w:val="18"/>
          <w:szCs w:val="18"/>
        </w:rPr>
        <w:t>2021</w:t>
      </w:r>
      <w:r>
        <w:rPr>
          <w:rFonts w:hint="eastAsia"/>
          <w:color w:val="000000"/>
          <w:sz w:val="18"/>
          <w:szCs w:val="18"/>
        </w:rPr>
        <w:t>年股权激励股票导致股份总数变动。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股份变动的批准情况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spacing w:before="0" w:beforeAutospacing="0" w:after="0" w:afterAutospacing="0"/>
        <w:jc w:val="both"/>
        <w:divId w:val="358629343"/>
        <w:rPr>
          <w:sz w:val="18"/>
          <w:szCs w:val="18"/>
        </w:rPr>
      </w:pPr>
      <w:r>
        <w:rPr>
          <w:rFonts w:ascii="Times New Roman" w:hAnsi="Times New Roman" w:cs="Times New Roman"/>
          <w:color w:val="000000"/>
          <w:sz w:val="18"/>
          <w:szCs w:val="18"/>
        </w:rPr>
        <w:t>1</w:t>
      </w:r>
      <w:r>
        <w:rPr>
          <w:rFonts w:hint="eastAsia"/>
          <w:color w:val="000000"/>
          <w:sz w:val="18"/>
          <w:szCs w:val="18"/>
        </w:rPr>
        <w:t>、根据中国证券监督管理委员会于</w:t>
      </w:r>
      <w:r>
        <w:rPr>
          <w:rFonts w:ascii="Times New Roman" w:hAnsi="Times New Roman" w:cs="Times New Roman"/>
          <w:color w:val="000000"/>
          <w:sz w:val="18"/>
          <w:szCs w:val="18"/>
        </w:rPr>
        <w:t>2019</w:t>
      </w:r>
      <w:r>
        <w:rPr>
          <w:rFonts w:hint="eastAsia"/>
          <w:color w:val="000000"/>
          <w:sz w:val="18"/>
          <w:szCs w:val="18"/>
        </w:rPr>
        <w:t>年</w:t>
      </w:r>
      <w:r>
        <w:rPr>
          <w:rFonts w:ascii="Times New Roman" w:hAnsi="Times New Roman" w:cs="Times New Roman"/>
          <w:color w:val="000000"/>
          <w:sz w:val="18"/>
          <w:szCs w:val="18"/>
        </w:rPr>
        <w:t>7</w:t>
      </w:r>
      <w:r>
        <w:rPr>
          <w:rFonts w:hint="eastAsia"/>
          <w:color w:val="000000"/>
          <w:sz w:val="18"/>
          <w:szCs w:val="18"/>
        </w:rPr>
        <w:t>月</w:t>
      </w:r>
      <w:r>
        <w:rPr>
          <w:rFonts w:ascii="Times New Roman" w:hAnsi="Times New Roman" w:cs="Times New Roman"/>
          <w:color w:val="000000"/>
          <w:sz w:val="18"/>
          <w:szCs w:val="18"/>
        </w:rPr>
        <w:t>25</w:t>
      </w:r>
      <w:r>
        <w:rPr>
          <w:rFonts w:hint="eastAsia"/>
          <w:color w:val="000000"/>
          <w:sz w:val="18"/>
          <w:szCs w:val="18"/>
        </w:rPr>
        <w:t>日下发的《关于核准广东翔鹭钨业股份有限公司公开发行可转换公司债券的批复》（证监许可</w:t>
      </w:r>
      <w:r>
        <w:rPr>
          <w:rFonts w:ascii="Times New Roman" w:hAnsi="Times New Roman" w:cs="Times New Roman"/>
          <w:color w:val="000000"/>
          <w:sz w:val="18"/>
          <w:szCs w:val="18"/>
        </w:rPr>
        <w:t>[2019]1374</w:t>
      </w:r>
      <w:r>
        <w:rPr>
          <w:rFonts w:hint="eastAsia"/>
          <w:color w:val="000000"/>
          <w:sz w:val="18"/>
          <w:szCs w:val="18"/>
        </w:rPr>
        <w:t>号）文件，公司于</w:t>
      </w:r>
      <w:r>
        <w:rPr>
          <w:rFonts w:ascii="Times New Roman" w:hAnsi="Times New Roman" w:cs="Times New Roman"/>
          <w:color w:val="000000"/>
          <w:sz w:val="18"/>
          <w:szCs w:val="18"/>
        </w:rPr>
        <w:t>2019</w:t>
      </w:r>
      <w:r>
        <w:rPr>
          <w:rFonts w:hint="eastAsia"/>
          <w:color w:val="000000"/>
          <w:sz w:val="18"/>
          <w:szCs w:val="18"/>
        </w:rPr>
        <w:t>年</w:t>
      </w:r>
      <w:r>
        <w:rPr>
          <w:rFonts w:ascii="Times New Roman" w:hAnsi="Times New Roman" w:cs="Times New Roman"/>
          <w:color w:val="000000"/>
          <w:sz w:val="18"/>
          <w:szCs w:val="18"/>
        </w:rPr>
        <w:t>8</w:t>
      </w:r>
      <w:r>
        <w:rPr>
          <w:rFonts w:hint="eastAsia"/>
          <w:color w:val="000000"/>
          <w:sz w:val="18"/>
          <w:szCs w:val="18"/>
        </w:rPr>
        <w:t>月</w:t>
      </w:r>
      <w:r>
        <w:rPr>
          <w:rFonts w:ascii="Times New Roman" w:hAnsi="Times New Roman" w:cs="Times New Roman"/>
          <w:color w:val="000000"/>
          <w:sz w:val="18"/>
          <w:szCs w:val="18"/>
        </w:rPr>
        <w:t>20</w:t>
      </w:r>
      <w:r>
        <w:rPr>
          <w:rFonts w:hint="eastAsia"/>
          <w:color w:val="000000"/>
          <w:sz w:val="18"/>
          <w:szCs w:val="18"/>
        </w:rPr>
        <w:t>日公开发行了</w:t>
      </w:r>
      <w:r>
        <w:rPr>
          <w:rFonts w:ascii="Times New Roman" w:hAnsi="Times New Roman" w:cs="Times New Roman"/>
          <w:color w:val="000000"/>
          <w:sz w:val="18"/>
          <w:szCs w:val="18"/>
        </w:rPr>
        <w:t>3,019,223</w:t>
      </w:r>
      <w:r>
        <w:rPr>
          <w:rFonts w:hint="eastAsia"/>
          <w:color w:val="000000"/>
          <w:sz w:val="18"/>
          <w:szCs w:val="18"/>
        </w:rPr>
        <w:t>张可转换公司债券。</w:t>
      </w:r>
    </w:p>
    <w:p w:rsidR="00E22F4C" w:rsidRDefault="00E22F4C">
      <w:pPr>
        <w:pStyle w:val="a4"/>
        <w:spacing w:before="0" w:beforeAutospacing="0" w:after="0" w:afterAutospacing="0"/>
        <w:divId w:val="358629343"/>
        <w:rPr>
          <w:sz w:val="18"/>
          <w:szCs w:val="18"/>
        </w:rPr>
      </w:pPr>
      <w:r>
        <w:rPr>
          <w:rFonts w:hint="eastAsia"/>
          <w:sz w:val="18"/>
          <w:szCs w:val="18"/>
        </w:rPr>
        <w:t>2、2022年11月15日，公司召开第四届董事会第三次会议和第四届监事会第十二次会议，审议通过了《关于调整2021年限制性股票激励计划限制性股票回购价格及回购注销部分激励对象已获授但尚未解除限售的限制性股票的议案》，鉴于2名激励对象因个人原因离职，公司董事会拟对其已获授但尚未解除限售的40,000股限制性股票进行回购注销，同时，由于2022年5月20日召开的2021年度股东大会审议通过了《关于2021年度利润分配预案的议案》，根据《激励计划》的相关规定，拟对2021年限制性股票激励计划限制性股票回购价格进行调整，回购价格由5.39元/股调整为5.29元/股。并经公司2022年12月1日召开的2022年第三次临时股东大会审议通过。2023年2月20日，经中国证券登记结算有限责任公司深圳分公司审核确认，限制性股票40,000股已完成回购注销事宜。</w:t>
      </w:r>
    </w:p>
    <w:p w:rsidR="00E22F4C" w:rsidRDefault="00E22F4C">
      <w:pPr>
        <w:pStyle w:val="a4"/>
        <w:spacing w:before="0" w:beforeAutospacing="0" w:after="0" w:afterAutospacing="0"/>
        <w:divId w:val="358629343"/>
        <w:rPr>
          <w:sz w:val="18"/>
          <w:szCs w:val="18"/>
        </w:rPr>
      </w:pPr>
      <w:r>
        <w:rPr>
          <w:rFonts w:hint="eastAsia"/>
          <w:sz w:val="18"/>
          <w:szCs w:val="18"/>
        </w:rPr>
        <w:t> </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股份变动的过户情况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股份变动对最近一年和最近一期基本每股收益和稀释每股收益、归属于公司普通股股东的每股净资产等财务指标的影响</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公司认为必要或证券监管机构要求披露的其他内容</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133" w:name="_Toc989022"/>
      <w:r>
        <w:rPr>
          <w:rFonts w:ascii="宋体" w:hAnsi="宋体" w:cs="宋体"/>
          <w:b/>
          <w:bCs/>
        </w:rPr>
        <w:t>2、限售股份变动情况</w:t>
      </w:r>
      <w:bookmarkEnd w:id="13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本期解除限售股数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限售原因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解除限售日期</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38,877,300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38,877,300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根据董监高相关管理规定解限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陈伟东</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11,469,727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2,047,500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9,422,227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根据董监高相关管理规定解限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陈伟儿</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10,261,586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10,261,586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根据董监高相关管理规定解限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李盛意</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364,800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311,400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股权激励授予的限制性股票、高管锁定股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根据限制性股票计划规定以及董监高相关管理规定解限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戴湘平</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239,600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36,800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202,800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股权激励授予的限制性股票、高管锁定</w:t>
            </w:r>
            <w:r>
              <w:rPr>
                <w:rFonts w:ascii="宋体" w:eastAsia="宋体" w:hAnsi="宋体" w:cs="宋体"/>
                <w:sz w:val="18"/>
                <w:szCs w:val="18"/>
              </w:rPr>
              <w:lastRenderedPageBreak/>
              <w:t>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根据限制性股票计划规定以及董监高相关</w:t>
            </w:r>
            <w:r>
              <w:rPr>
                <w:rFonts w:ascii="宋体" w:eastAsia="宋体" w:hAnsi="宋体" w:cs="宋体"/>
                <w:sz w:val="18"/>
                <w:szCs w:val="18"/>
              </w:rPr>
              <w:lastRenderedPageBreak/>
              <w:t>管理规定解限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周伟平</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236,000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198,000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股权激励授予的限制性股票、高管锁定股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根据限制性股票计划规定以及董监高相关管理规定解限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吴向高</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股权激励授予的限制性股票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根据限制性股票计划规定解限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倪明</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股权激励授予的限制性股票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根据限制性股票计划规定解限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郑丽芳</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股权激励授予的限制性股票、高管锁定股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根据限制性股票计划规定以及董监高相关管理规定解限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3,470,000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1,372,000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2,098,000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股权激励授予的限制性股票</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根据限制性股票计划规定解限</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65,419,013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3,732,700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61,686,313</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E22F4C" w:rsidRDefault="00381575">
      <w:pPr>
        <w:pStyle w:val="2"/>
        <w:spacing w:before="300" w:after="300" w:line="320" w:lineRule="exact"/>
        <w:rPr>
          <w:rFonts w:ascii="宋体" w:eastAsia="宋体" w:hAnsi="宋体" w:cs="宋体"/>
          <w:b/>
          <w:bCs/>
          <w:sz w:val="24"/>
          <w:szCs w:val="24"/>
        </w:rPr>
      </w:pPr>
      <w:bookmarkStart w:id="134" w:name="_Toc989023"/>
      <w:r>
        <w:rPr>
          <w:rFonts w:ascii="宋体" w:eastAsia="宋体" w:hAnsi="宋体" w:cs="宋体"/>
          <w:b/>
          <w:bCs/>
          <w:sz w:val="24"/>
          <w:szCs w:val="24"/>
        </w:rPr>
        <w:t>二、证券发行与上市情况</w:t>
      </w:r>
      <w:bookmarkEnd w:id="134"/>
    </w:p>
    <w:p w:rsidR="00E22F4C" w:rsidRDefault="00381575">
      <w:pPr>
        <w:pStyle w:val="3"/>
        <w:spacing w:line="280" w:lineRule="exact"/>
        <w:jc w:val="left"/>
        <w:rPr>
          <w:rFonts w:ascii="宋体" w:hAnsi="宋体" w:cs="宋体"/>
          <w:b/>
          <w:bCs/>
        </w:rPr>
      </w:pPr>
      <w:bookmarkStart w:id="135" w:name="_Toc989024"/>
      <w:r>
        <w:rPr>
          <w:rFonts w:ascii="宋体" w:hAnsi="宋体" w:cs="宋体"/>
          <w:b/>
          <w:bCs/>
        </w:rPr>
        <w:t>1、报告期内证券发行（不含优先股）情况</w:t>
      </w:r>
      <w:bookmarkEnd w:id="13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136" w:name="_Toc989025"/>
      <w:r>
        <w:rPr>
          <w:rFonts w:ascii="宋体" w:hAnsi="宋体" w:cs="宋体"/>
          <w:b/>
          <w:bCs/>
        </w:rPr>
        <w:t>2、公司股份总数及股东结构的变动、公司资产和负债结构的变动情况说明</w:t>
      </w:r>
      <w:bookmarkEnd w:id="13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137" w:name="_Toc989026"/>
      <w:r>
        <w:rPr>
          <w:rFonts w:ascii="宋体" w:hAnsi="宋体" w:cs="宋体"/>
          <w:b/>
          <w:bCs/>
        </w:rPr>
        <w:t>3、现存的内部职工股情况</w:t>
      </w:r>
      <w:bookmarkEnd w:id="13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138" w:name="_Toc989027"/>
      <w:r>
        <w:rPr>
          <w:rFonts w:ascii="宋体" w:eastAsia="宋体" w:hAnsi="宋体" w:cs="宋体"/>
          <w:b/>
          <w:bCs/>
          <w:sz w:val="24"/>
          <w:szCs w:val="24"/>
        </w:rPr>
        <w:t>三、股东和实际控制人情况</w:t>
      </w:r>
      <w:bookmarkEnd w:id="138"/>
    </w:p>
    <w:p w:rsidR="00E22F4C" w:rsidRDefault="00381575">
      <w:pPr>
        <w:pStyle w:val="3"/>
        <w:spacing w:line="280" w:lineRule="exact"/>
        <w:jc w:val="left"/>
        <w:rPr>
          <w:rFonts w:ascii="宋体" w:hAnsi="宋体" w:cs="宋体"/>
          <w:b/>
          <w:bCs/>
        </w:rPr>
      </w:pPr>
      <w:bookmarkStart w:id="139" w:name="_Toc989028"/>
      <w:r>
        <w:rPr>
          <w:rFonts w:ascii="宋体" w:hAnsi="宋体" w:cs="宋体"/>
          <w:b/>
          <w:bCs/>
        </w:rPr>
        <w:t>1、公司股东数量及持股情况</w:t>
      </w:r>
      <w:bookmarkEnd w:id="139"/>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报告期末普通股股东总数</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21,975</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年度报告披露日前上一月末普通股股东总数</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31,997</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报告期末表决权恢复的优先股股东总数（如有）（参见注8）</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年度报告披露日前上一月末表决权恢复的优先股股东总数（如有）（参见注8）</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E22F4C">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持股5%以上的股东或前10名股东持股情况</w:t>
            </w:r>
          </w:p>
        </w:tc>
      </w:tr>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股东性质</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报告期末持股数量</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报告期内增减变动情况</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持有有限售条件的股份数量</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持有无限售条件的股份数量</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质押、标记或冻结情况</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股份状态</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18.67%</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51,836,400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38,877,300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12,959,100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30,012,161</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潮州启龙贸易有限公司</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境内非国有法人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17.68%</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49,106,400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49,106,400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23,875,609</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陈伟儿</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13,682,115</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10,261,586</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3,420,529</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7,838,891</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陈伟东</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4.52%</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12,562,970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9,422,227</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3,140,743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中国建设银行</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股份有限公司</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－华夏能源革</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新股票型证券</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投资基金</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1.97%</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5,477,320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5,477,320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5,477,320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方士雄</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潮州市永宣陶</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瓷科技有限公</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司</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境内非国有法人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1.12%</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3,113,980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3,113,980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潘伟程</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0.87%</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2,423,761</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2,423,761</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2,423,761</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梁楠</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0.82%</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2,290,000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-317,000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2,290,000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佘周鹏</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0.73%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2,015,300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-526,700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2,015,300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战略投资者或一般法人因配售新股成为前10名股东的情况（如有）（参见注3）</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上述股东关联关系或一致行动的说明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在上述股东中，陈启丰、陈伟东、陈伟儿及陈启丰际控制的启龙有限为一致行动人关系，陈伟东、陈伟儿系陈启丰子女。除此之外公司未知其他股东是否存在关联关系或一致行动关系。</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上述股东涉及委托/受托表决权、放弃表决权情况的说明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前10名股东中存在回购专户的特别说明（如有）（参见注10）</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r w:rsidR="00E22F4C">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前10名无限售条件股东持股情况</w:t>
            </w:r>
          </w:p>
        </w:tc>
      </w:tr>
      <w:tr w:rsidR="00E22F4C">
        <w:trPr>
          <w:trHeight w:val="240"/>
        </w:trPr>
        <w:tc>
          <w:tcPr>
            <w:tcW w:w="2142"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5355" w:type="dxa"/>
            <w:gridSpan w:val="5"/>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报告期末持有无限售条件股份数量</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股份种类</w:t>
            </w:r>
          </w:p>
        </w:tc>
      </w:tr>
      <w:tr w:rsidR="00E22F4C">
        <w:trPr>
          <w:trHeight w:val="240"/>
        </w:trPr>
        <w:tc>
          <w:tcPr>
            <w:tcW w:w="2142"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5355" w:type="dxa"/>
            <w:gridSpan w:val="5"/>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股份种类</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潮州启龙贸易有限公司</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49,106,400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49,106,400</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12,959,100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12,959,100</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中国建设银行股份有限公司－华夏能源革新股票型证券投资基金</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5,477,320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5,477,320</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方士雄</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4,000,000</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陈伟儿</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3,420,529</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w:t>
            </w:r>
            <w:r>
              <w:rPr>
                <w:rFonts w:ascii="宋体" w:eastAsia="宋体" w:hAnsi="宋体" w:cs="宋体"/>
                <w:sz w:val="18"/>
                <w:szCs w:val="18"/>
              </w:rPr>
              <w:lastRenderedPageBreak/>
              <w:t>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3,420,529</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陈伟东</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3,140,743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3,140,743</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潮州市永宣陶瓷科技有限公司</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3,113,980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3,113,980</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潘伟程</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2,423,761</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2,423,761</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梁楠</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2,290,000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2,290,000</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佘周鹏</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2,015,300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2,015,300</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前10名无限售流通股股东之间，以及前10名无限售流通股股东和前10名股东之间关联关系或一致行动的说明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在上述股东中，陈启丰、陈伟东、陈伟儿及陈启丰际控制的启龙有限为一致行动人关系，陈伟东、陈伟儿系陈启丰子女。除此之外，未知前10名无限售条件普通股股东之间，以及前10名无限售条件普通股股东和前10名普通股股东之间是否存在关联关系或一致行动关系。</w:t>
            </w:r>
          </w:p>
        </w:tc>
      </w:tr>
      <w:tr w:rsidR="00E22F4C">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前10名普通股股东参与融资融券业务情况说明（如有）（参见注4）</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公司前10名普通股股东、前10名无限售条件普通股股东在报告期内是否进行约定购回交易</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公司前10名普通股股东、前10名无限售条件普通股股东在报告期内未进行约定购回交易。</w:t>
      </w:r>
    </w:p>
    <w:p w:rsidR="00E22F4C" w:rsidRDefault="00381575">
      <w:pPr>
        <w:pStyle w:val="3"/>
        <w:spacing w:line="280" w:lineRule="exact"/>
        <w:jc w:val="left"/>
        <w:rPr>
          <w:rFonts w:ascii="宋体" w:hAnsi="宋体" w:cs="宋体"/>
          <w:b/>
          <w:bCs/>
        </w:rPr>
      </w:pPr>
      <w:bookmarkStart w:id="140" w:name="_Toc989029"/>
      <w:r>
        <w:rPr>
          <w:rFonts w:ascii="宋体" w:hAnsi="宋体" w:cs="宋体"/>
          <w:b/>
          <w:bCs/>
        </w:rPr>
        <w:t>2、公司控股股东情况</w:t>
      </w:r>
      <w:bookmarkEnd w:id="14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控股股东性质：自然人控股</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控股股东类型：自然人</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控股股东姓名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国籍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是否取得其他国家或地区居留权</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主要职业及职务</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陈启丰为广东翔鹭钨业股份有限公司董事长</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报告期内控股和参股的其他境内外上市公司的股权情况</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控股股东报告期内变更</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公司报告期控股股东未发生变更。</w:t>
      </w:r>
    </w:p>
    <w:p w:rsidR="00E22F4C" w:rsidRDefault="00381575">
      <w:pPr>
        <w:pStyle w:val="3"/>
        <w:spacing w:line="280" w:lineRule="exact"/>
        <w:jc w:val="left"/>
        <w:rPr>
          <w:rFonts w:ascii="宋体" w:hAnsi="宋体" w:cs="宋体"/>
          <w:b/>
          <w:bCs/>
        </w:rPr>
      </w:pPr>
      <w:bookmarkStart w:id="141" w:name="_Toc989030"/>
      <w:r>
        <w:rPr>
          <w:rFonts w:ascii="宋体" w:hAnsi="宋体" w:cs="宋体"/>
          <w:b/>
          <w:bCs/>
        </w:rPr>
        <w:t>3、公司实际控制人及其一致行动人</w:t>
      </w:r>
      <w:bookmarkEnd w:id="14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实际控制人性质：境内自然人</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实际控制人类型：自然人</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实际控制人姓名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与实际控制人关系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国籍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是否取得其他国家或地区居留权</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陈宏音</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陈伟东</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陈伟儿</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主要职业及职务</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陈启丰为广东翔鹭钨业股份有限公司董事长，陈伟东为广东翔鹭钨业股份有限公司董事、总经理，陈伟儿为广东翔鹭钨业股份有限公司董事，陈宏音为陈启丰配偶，陈伟东、陈伟儿为陈启丰、陈宏音之子女。</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过去10年曾控股的境内外</w:t>
            </w:r>
            <w:r>
              <w:rPr>
                <w:rFonts w:ascii="宋体" w:eastAsia="宋体" w:hAnsi="宋体" w:cs="宋体"/>
                <w:sz w:val="18"/>
                <w:szCs w:val="18"/>
              </w:rPr>
              <w:lastRenderedPageBreak/>
              <w:t>上市公司情况</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实际控制人报告期内变更</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公司报告期实际控制人未发生变更。</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公司与实际控制人之间的产权及控制关系的方框图</w:t>
      </w:r>
    </w:p>
    <w:p w:rsidR="00E22F4C" w:rsidRDefault="00381575">
      <w:pPr>
        <w:spacing w:before="40" w:after="40" w:line="0" w:lineRule="atLeast"/>
        <w:rPr>
          <w:rFonts w:ascii="Times New Roman" w:eastAsia="宋体" w:hAnsi="Times New Roman" w:cs="Times New Roman"/>
        </w:rPr>
      </w:pPr>
      <w:r>
        <w:rPr>
          <w:rFonts w:ascii="Times New Roman" w:eastAsia="宋体" w:hAnsi="Times New Roman" w:cs="Times New Roman"/>
          <w:noProof/>
        </w:rPr>
        <w:drawing>
          <wp:inline distT="0" distB="0" distL="0" distR="0">
            <wp:extent cx="2300288" cy="1662112"/>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extLst>
                        <a:ext uri="{28A0092B-C50C-407E-A947-70E740481C1C}"/>
                      </a:extLst>
                    </a:blip>
                    <a:stretch>
                      <a:fillRect/>
                    </a:stretch>
                  </pic:blipFill>
                  <pic:spPr>
                    <a:xfrm>
                      <a:off x="0" y="0"/>
                      <a:ext cx="2300288" cy="1662112"/>
                    </a:xfrm>
                    <a:prstGeom prst="rect">
                      <a:avLst/>
                    </a:prstGeom>
                  </pic:spPr>
                </pic:pic>
              </a:graphicData>
            </a:graphic>
          </wp:inline>
        </w:drawing>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实际控制人通过信托或其他资产管理方式控制公司</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142" w:name="_Toc989031"/>
      <w:r>
        <w:rPr>
          <w:rFonts w:ascii="宋体" w:hAnsi="宋体" w:cs="宋体"/>
          <w:b/>
          <w:bCs/>
        </w:rPr>
        <w:t>4、公司控股股东或第一大股东及其一致行动人累计质押股份数量占其所持公司股份数量比例达到80%</w:t>
      </w:r>
      <w:bookmarkEnd w:id="14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143" w:name="_Toc989032"/>
      <w:r>
        <w:rPr>
          <w:rFonts w:ascii="宋体" w:hAnsi="宋体" w:cs="宋体"/>
          <w:b/>
          <w:bCs/>
        </w:rPr>
        <w:t>5、其他持股在10%以上的法人股东</w:t>
      </w:r>
      <w:bookmarkEnd w:id="14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144" w:name="_Toc989033"/>
      <w:r>
        <w:rPr>
          <w:rFonts w:ascii="宋体" w:hAnsi="宋体" w:cs="宋体"/>
          <w:b/>
          <w:bCs/>
        </w:rPr>
        <w:t>6、控股股东、实际控制人、重组方及其他承诺主体股份限制减持情况</w:t>
      </w:r>
      <w:bookmarkEnd w:id="14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145" w:name="_Toc989034"/>
      <w:r>
        <w:rPr>
          <w:rFonts w:ascii="宋体" w:eastAsia="宋体" w:hAnsi="宋体" w:cs="宋体"/>
          <w:b/>
          <w:bCs/>
          <w:sz w:val="24"/>
          <w:szCs w:val="24"/>
        </w:rPr>
        <w:t>四、股份回购在报告期的具体实施情况</w:t>
      </w:r>
      <w:bookmarkEnd w:id="14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股份回购的实施进展情况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方案披露时间</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拟回购股份数量（股）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占总股本的比例</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拟回购金额（万元）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拟回购期间</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回购用途</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已回购数量（股）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已回购数量占股权激励计划所涉及的标的股票的比例（如有）</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2022年11月15日</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40000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0.01%</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21.4774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2022.11.15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注销</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0.86%</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采用集中竞价交易方式减持回购股份的实施进展情况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146" w:name="_Toc989035"/>
      <w:r>
        <w:rPr>
          <w:rFonts w:ascii="宋体" w:eastAsia="宋体" w:hAnsi="宋体" w:cs="宋体"/>
          <w:b/>
          <w:bCs/>
          <w:sz w:val="32"/>
          <w:szCs w:val="32"/>
        </w:rPr>
        <w:lastRenderedPageBreak/>
        <w:t>第八节 优先股相关情况</w:t>
      </w:r>
      <w:bookmarkEnd w:id="14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报告期公司不存在优先股。</w:t>
      </w:r>
    </w:p>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147" w:name="_Toc989036"/>
      <w:r>
        <w:rPr>
          <w:rFonts w:ascii="宋体" w:eastAsia="宋体" w:hAnsi="宋体" w:cs="宋体"/>
          <w:b/>
          <w:bCs/>
          <w:sz w:val="32"/>
          <w:szCs w:val="32"/>
        </w:rPr>
        <w:lastRenderedPageBreak/>
        <w:t>第九节 债券相关情况</w:t>
      </w:r>
      <w:bookmarkEnd w:id="14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pStyle w:val="2"/>
        <w:spacing w:before="300" w:after="300" w:line="320" w:lineRule="exact"/>
        <w:rPr>
          <w:rFonts w:ascii="宋体" w:eastAsia="宋体" w:hAnsi="宋体" w:cs="宋体"/>
          <w:b/>
          <w:bCs/>
          <w:sz w:val="24"/>
          <w:szCs w:val="24"/>
        </w:rPr>
      </w:pPr>
      <w:bookmarkStart w:id="148" w:name="_Toc989037"/>
      <w:r>
        <w:rPr>
          <w:rFonts w:ascii="宋体" w:eastAsia="宋体" w:hAnsi="宋体" w:cs="宋体"/>
          <w:b/>
          <w:bCs/>
          <w:sz w:val="24"/>
          <w:szCs w:val="24"/>
        </w:rPr>
        <w:t>一、企业债券</w:t>
      </w:r>
      <w:bookmarkEnd w:id="148"/>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报告期公司不存在企业债券。</w:t>
      </w:r>
    </w:p>
    <w:p w:rsidR="00E22F4C" w:rsidRDefault="00381575">
      <w:pPr>
        <w:pStyle w:val="2"/>
        <w:spacing w:before="300" w:after="300" w:line="320" w:lineRule="exact"/>
        <w:rPr>
          <w:rFonts w:ascii="宋体" w:eastAsia="宋体" w:hAnsi="宋体" w:cs="宋体"/>
          <w:b/>
          <w:bCs/>
          <w:sz w:val="24"/>
          <w:szCs w:val="24"/>
        </w:rPr>
      </w:pPr>
      <w:bookmarkStart w:id="149" w:name="_Toc989038"/>
      <w:r>
        <w:rPr>
          <w:rFonts w:ascii="宋体" w:eastAsia="宋体" w:hAnsi="宋体" w:cs="宋体"/>
          <w:b/>
          <w:bCs/>
          <w:sz w:val="24"/>
          <w:szCs w:val="24"/>
        </w:rPr>
        <w:t>二、公司债券</w:t>
      </w:r>
      <w:bookmarkEnd w:id="14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报告期公司不存在公司债券。</w:t>
      </w:r>
    </w:p>
    <w:p w:rsidR="00E22F4C" w:rsidRDefault="00381575">
      <w:pPr>
        <w:pStyle w:val="2"/>
        <w:spacing w:before="300" w:after="300" w:line="320" w:lineRule="exact"/>
        <w:rPr>
          <w:rFonts w:ascii="宋体" w:eastAsia="宋体" w:hAnsi="宋体" w:cs="宋体"/>
          <w:b/>
          <w:bCs/>
          <w:sz w:val="24"/>
          <w:szCs w:val="24"/>
        </w:rPr>
      </w:pPr>
      <w:bookmarkStart w:id="150" w:name="_Toc989039"/>
      <w:r>
        <w:rPr>
          <w:rFonts w:ascii="宋体" w:eastAsia="宋体" w:hAnsi="宋体" w:cs="宋体"/>
          <w:b/>
          <w:bCs/>
          <w:sz w:val="24"/>
          <w:szCs w:val="24"/>
        </w:rPr>
        <w:t>三、非金融企业债务融资工具</w:t>
      </w:r>
      <w:bookmarkEnd w:id="15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报告期公司不存在非金融企业债务融资工具。</w:t>
      </w:r>
    </w:p>
    <w:p w:rsidR="00E22F4C" w:rsidRDefault="00381575">
      <w:pPr>
        <w:pStyle w:val="2"/>
        <w:spacing w:before="300" w:after="300" w:line="320" w:lineRule="exact"/>
        <w:rPr>
          <w:rFonts w:ascii="宋体" w:eastAsia="宋体" w:hAnsi="宋体" w:cs="宋体"/>
          <w:b/>
          <w:bCs/>
          <w:sz w:val="24"/>
          <w:szCs w:val="24"/>
        </w:rPr>
      </w:pPr>
      <w:bookmarkStart w:id="151" w:name="_Toc989040"/>
      <w:r>
        <w:rPr>
          <w:rFonts w:ascii="宋体" w:eastAsia="宋体" w:hAnsi="宋体" w:cs="宋体"/>
          <w:b/>
          <w:bCs/>
          <w:sz w:val="24"/>
          <w:szCs w:val="24"/>
        </w:rPr>
        <w:t>四、可转换公司债券</w:t>
      </w:r>
      <w:bookmarkEnd w:id="15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pStyle w:val="3"/>
        <w:spacing w:line="280" w:lineRule="exact"/>
        <w:jc w:val="left"/>
        <w:rPr>
          <w:rFonts w:ascii="宋体" w:hAnsi="宋体" w:cs="宋体"/>
          <w:b/>
          <w:bCs/>
        </w:rPr>
      </w:pPr>
      <w:bookmarkStart w:id="152" w:name="_Toc989041"/>
      <w:r>
        <w:rPr>
          <w:rFonts w:ascii="宋体" w:hAnsi="宋体" w:cs="宋体"/>
          <w:b/>
          <w:bCs/>
        </w:rPr>
        <w:t>1、转股价格历次调整情况</w:t>
      </w:r>
      <w:bookmarkEnd w:id="152"/>
    </w:p>
    <w:p w:rsidR="00E22F4C" w:rsidRDefault="00E22F4C">
      <w:pPr>
        <w:pStyle w:val="a4"/>
        <w:spacing w:before="0" w:beforeAutospacing="0" w:after="0" w:afterAutospacing="0"/>
        <w:jc w:val="both"/>
        <w:divId w:val="604657049"/>
        <w:rPr>
          <w:sz w:val="18"/>
          <w:szCs w:val="18"/>
        </w:rPr>
      </w:pPr>
      <w:r>
        <w:rPr>
          <w:rFonts w:ascii="Times New Roman" w:hAnsi="Times New Roman" w:cs="Times New Roman"/>
          <w:color w:val="000000"/>
          <w:sz w:val="18"/>
          <w:szCs w:val="18"/>
        </w:rPr>
        <w:t>1</w:t>
      </w:r>
      <w:r>
        <w:rPr>
          <w:rFonts w:hint="eastAsia"/>
          <w:color w:val="000000"/>
          <w:sz w:val="18"/>
          <w:szCs w:val="18"/>
        </w:rPr>
        <w:t>、公司于</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2</w:t>
      </w:r>
      <w:r>
        <w:rPr>
          <w:rFonts w:hint="eastAsia"/>
          <w:color w:val="000000"/>
          <w:sz w:val="18"/>
          <w:szCs w:val="18"/>
        </w:rPr>
        <w:t>月</w:t>
      </w:r>
      <w:r>
        <w:rPr>
          <w:rFonts w:ascii="Times New Roman" w:hAnsi="Times New Roman" w:cs="Times New Roman"/>
          <w:color w:val="000000"/>
          <w:sz w:val="18"/>
          <w:szCs w:val="18"/>
        </w:rPr>
        <w:t>13</w:t>
      </w:r>
      <w:r>
        <w:rPr>
          <w:rFonts w:hint="eastAsia"/>
          <w:color w:val="000000"/>
          <w:sz w:val="18"/>
          <w:szCs w:val="18"/>
        </w:rPr>
        <w:t>日召开了第三届董事会</w:t>
      </w:r>
      <w:r>
        <w:rPr>
          <w:rFonts w:ascii="Times New Roman" w:hAnsi="Times New Roman" w:cs="Times New Roman"/>
          <w:color w:val="000000"/>
          <w:sz w:val="18"/>
          <w:szCs w:val="18"/>
        </w:rPr>
        <w:t>2020</w:t>
      </w:r>
      <w:r>
        <w:rPr>
          <w:rFonts w:hint="eastAsia"/>
          <w:color w:val="000000"/>
          <w:sz w:val="18"/>
          <w:szCs w:val="18"/>
        </w:rPr>
        <w:t>年第一次临时会议和第三届监事会第十四次会议，审议通过了《关于公司</w:t>
      </w:r>
      <w:r>
        <w:rPr>
          <w:rFonts w:ascii="Times New Roman" w:hAnsi="Times New Roman" w:cs="Times New Roman"/>
          <w:color w:val="000000"/>
          <w:sz w:val="18"/>
          <w:szCs w:val="18"/>
        </w:rPr>
        <w:t>2018</w:t>
      </w:r>
      <w:r>
        <w:rPr>
          <w:rFonts w:hint="eastAsia"/>
          <w:color w:val="000000"/>
          <w:sz w:val="18"/>
          <w:szCs w:val="18"/>
        </w:rPr>
        <w:t>年限制性股票激励计划首次授予部分第一个限售期解除限售条件成就的议案》和《关于调整</w:t>
      </w:r>
      <w:r>
        <w:rPr>
          <w:rFonts w:ascii="Times New Roman" w:hAnsi="Times New Roman" w:cs="Times New Roman"/>
          <w:color w:val="000000"/>
          <w:sz w:val="18"/>
          <w:szCs w:val="18"/>
        </w:rPr>
        <w:t>2018</w:t>
      </w:r>
      <w:r>
        <w:rPr>
          <w:rFonts w:hint="eastAsia"/>
          <w:color w:val="000000"/>
          <w:sz w:val="18"/>
          <w:szCs w:val="18"/>
        </w:rPr>
        <w:t>年限制性股票激励计划限制性股票回购数量和回购价格及回购注销部分激励对象已获授但尚未解除限售的限制性股票的议案》，鉴于</w:t>
      </w:r>
      <w:r>
        <w:rPr>
          <w:rFonts w:ascii="Times New Roman" w:hAnsi="Times New Roman" w:cs="Times New Roman"/>
          <w:color w:val="000000"/>
          <w:sz w:val="18"/>
          <w:szCs w:val="18"/>
        </w:rPr>
        <w:t>8</w:t>
      </w:r>
      <w:r>
        <w:rPr>
          <w:rFonts w:hint="eastAsia"/>
          <w:color w:val="000000"/>
          <w:sz w:val="18"/>
          <w:szCs w:val="18"/>
        </w:rPr>
        <w:t>名激励对象因个人原因离职，公司董事会对其已获授但尚未解除限售的</w:t>
      </w:r>
      <w:r>
        <w:rPr>
          <w:rFonts w:ascii="Times New Roman" w:hAnsi="Times New Roman" w:cs="Times New Roman"/>
          <w:color w:val="000000"/>
          <w:sz w:val="18"/>
          <w:szCs w:val="18"/>
        </w:rPr>
        <w:t>73,500</w:t>
      </w:r>
      <w:r>
        <w:rPr>
          <w:rFonts w:hint="eastAsia"/>
          <w:color w:val="000000"/>
          <w:sz w:val="18"/>
          <w:szCs w:val="18"/>
        </w:rPr>
        <w:t>股限制性股票进行回购注销，同时，由于</w:t>
      </w:r>
      <w:r>
        <w:rPr>
          <w:rFonts w:ascii="Times New Roman" w:hAnsi="Times New Roman" w:cs="Times New Roman"/>
          <w:color w:val="000000"/>
          <w:sz w:val="18"/>
          <w:szCs w:val="18"/>
        </w:rPr>
        <w:t>2019</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24</w:t>
      </w:r>
      <w:r>
        <w:rPr>
          <w:rFonts w:hint="eastAsia"/>
          <w:color w:val="000000"/>
          <w:sz w:val="18"/>
          <w:szCs w:val="18"/>
        </w:rPr>
        <w:t>日召开的</w:t>
      </w:r>
      <w:r>
        <w:rPr>
          <w:rFonts w:ascii="Times New Roman" w:hAnsi="Times New Roman" w:cs="Times New Roman"/>
          <w:color w:val="000000"/>
          <w:sz w:val="18"/>
          <w:szCs w:val="18"/>
        </w:rPr>
        <w:t>2018</w:t>
      </w:r>
      <w:r>
        <w:rPr>
          <w:rFonts w:hint="eastAsia"/>
          <w:color w:val="000000"/>
          <w:sz w:val="18"/>
          <w:szCs w:val="18"/>
        </w:rPr>
        <w:t>年度股东大会审议通过了《关于公司</w:t>
      </w:r>
      <w:r>
        <w:rPr>
          <w:rFonts w:ascii="Times New Roman" w:hAnsi="Times New Roman" w:cs="Times New Roman"/>
          <w:color w:val="000000"/>
          <w:sz w:val="18"/>
          <w:szCs w:val="18"/>
        </w:rPr>
        <w:t>2018</w:t>
      </w:r>
      <w:r>
        <w:rPr>
          <w:rFonts w:hint="eastAsia"/>
          <w:color w:val="000000"/>
          <w:sz w:val="18"/>
          <w:szCs w:val="18"/>
        </w:rPr>
        <w:t>年度利润分配预案的议案》，根据《广东翔鹭钨业股份有限公司</w:t>
      </w:r>
      <w:r>
        <w:rPr>
          <w:rFonts w:ascii="Times New Roman" w:hAnsi="Times New Roman" w:cs="Times New Roman"/>
          <w:color w:val="000000"/>
          <w:sz w:val="18"/>
          <w:szCs w:val="18"/>
        </w:rPr>
        <w:t>2018</w:t>
      </w:r>
      <w:r>
        <w:rPr>
          <w:rFonts w:hint="eastAsia"/>
          <w:color w:val="000000"/>
          <w:sz w:val="18"/>
          <w:szCs w:val="18"/>
        </w:rPr>
        <w:t>年限制性股票激励计划》的相关规定，对</w:t>
      </w:r>
      <w:r>
        <w:rPr>
          <w:rFonts w:ascii="Times New Roman" w:hAnsi="Times New Roman" w:cs="Times New Roman"/>
          <w:color w:val="000000"/>
          <w:sz w:val="18"/>
          <w:szCs w:val="18"/>
        </w:rPr>
        <w:t>2018</w:t>
      </w:r>
      <w:r>
        <w:rPr>
          <w:rFonts w:hint="eastAsia"/>
          <w:color w:val="000000"/>
          <w:sz w:val="18"/>
          <w:szCs w:val="18"/>
        </w:rPr>
        <w:t>年限制性股票激励计划限制性股票回购价格及回购数量进行调整，其中回购数量由</w:t>
      </w:r>
      <w:r>
        <w:rPr>
          <w:rFonts w:ascii="Times New Roman" w:hAnsi="Times New Roman" w:cs="Times New Roman"/>
          <w:color w:val="000000"/>
          <w:sz w:val="18"/>
          <w:szCs w:val="18"/>
        </w:rPr>
        <w:t>73,500</w:t>
      </w:r>
      <w:r>
        <w:rPr>
          <w:rFonts w:hint="eastAsia"/>
          <w:color w:val="000000"/>
          <w:sz w:val="18"/>
          <w:szCs w:val="18"/>
        </w:rPr>
        <w:t>股调整为</w:t>
      </w:r>
      <w:r>
        <w:rPr>
          <w:rFonts w:ascii="Times New Roman" w:hAnsi="Times New Roman" w:cs="Times New Roman"/>
          <w:color w:val="000000"/>
          <w:sz w:val="18"/>
          <w:szCs w:val="18"/>
        </w:rPr>
        <w:t>117,600</w:t>
      </w:r>
      <w:r>
        <w:rPr>
          <w:rFonts w:hint="eastAsia"/>
          <w:color w:val="000000"/>
          <w:sz w:val="18"/>
          <w:szCs w:val="18"/>
        </w:rPr>
        <w:t>股，回购价格由</w:t>
      </w:r>
      <w:r>
        <w:rPr>
          <w:rFonts w:ascii="Times New Roman" w:hAnsi="Times New Roman" w:cs="Times New Roman"/>
          <w:color w:val="000000"/>
          <w:sz w:val="18"/>
          <w:szCs w:val="18"/>
        </w:rPr>
        <w:t>9.23</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股调整为</w:t>
      </w:r>
      <w:r>
        <w:rPr>
          <w:rFonts w:ascii="Times New Roman" w:hAnsi="Times New Roman" w:cs="Times New Roman"/>
          <w:color w:val="000000"/>
          <w:sz w:val="18"/>
          <w:szCs w:val="18"/>
        </w:rPr>
        <w:t>5.71</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股。后续公司完成了前述限制性股票的回购注销手续，公司总股本由</w:t>
      </w:r>
      <w:r>
        <w:rPr>
          <w:rFonts w:ascii="Times New Roman" w:hAnsi="Times New Roman" w:cs="Times New Roman"/>
          <w:color w:val="000000"/>
          <w:sz w:val="18"/>
          <w:szCs w:val="18"/>
        </w:rPr>
        <w:t>274,603,816</w:t>
      </w:r>
      <w:r>
        <w:rPr>
          <w:rFonts w:hint="eastAsia"/>
          <w:color w:val="000000"/>
          <w:sz w:val="18"/>
          <w:szCs w:val="18"/>
        </w:rPr>
        <w:t>股减少至</w:t>
      </w:r>
      <w:r>
        <w:rPr>
          <w:rFonts w:ascii="Times New Roman" w:hAnsi="Times New Roman" w:cs="Times New Roman"/>
          <w:color w:val="000000"/>
          <w:sz w:val="18"/>
          <w:szCs w:val="18"/>
        </w:rPr>
        <w:t>274,486,216</w:t>
      </w:r>
      <w:r>
        <w:rPr>
          <w:rFonts w:hint="eastAsia"/>
          <w:color w:val="000000"/>
          <w:sz w:val="18"/>
          <w:szCs w:val="18"/>
        </w:rPr>
        <w:t>股。根据相关规定及限制性股票回购注销情况，公司对</w:t>
      </w:r>
      <w:r>
        <w:rPr>
          <w:rFonts w:ascii="Times New Roman" w:hAnsi="Times New Roman" w:cs="Times New Roman"/>
          <w:color w:val="000000"/>
          <w:sz w:val="18"/>
          <w:szCs w:val="18"/>
        </w:rPr>
        <w:t>“</w:t>
      </w:r>
      <w:r>
        <w:rPr>
          <w:rFonts w:hint="eastAsia"/>
          <w:color w:val="000000"/>
          <w:sz w:val="18"/>
          <w:szCs w:val="18"/>
        </w:rPr>
        <w:t>翔鹭转债</w:t>
      </w:r>
      <w:r>
        <w:rPr>
          <w:rFonts w:ascii="Times New Roman" w:hAnsi="Times New Roman" w:cs="Times New Roman"/>
          <w:color w:val="000000"/>
          <w:sz w:val="18"/>
          <w:szCs w:val="18"/>
        </w:rPr>
        <w:t>”</w:t>
      </w:r>
      <w:r>
        <w:rPr>
          <w:rFonts w:hint="eastAsia"/>
          <w:color w:val="000000"/>
          <w:sz w:val="18"/>
          <w:szCs w:val="18"/>
        </w:rPr>
        <w:t>的转股价格进行调整，经计算本次调整的转股价格四舍五入后仍为</w:t>
      </w:r>
      <w:r>
        <w:rPr>
          <w:rFonts w:ascii="Times New Roman" w:hAnsi="Times New Roman" w:cs="Times New Roman"/>
          <w:color w:val="000000"/>
          <w:sz w:val="18"/>
          <w:szCs w:val="18"/>
        </w:rPr>
        <w:t>15.36</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w:t>
      </w:r>
    </w:p>
    <w:p w:rsidR="00E22F4C" w:rsidRDefault="00E22F4C">
      <w:pPr>
        <w:pStyle w:val="a4"/>
        <w:spacing w:before="0" w:beforeAutospacing="0" w:after="0" w:afterAutospacing="0"/>
        <w:jc w:val="both"/>
        <w:divId w:val="604657049"/>
        <w:rPr>
          <w:sz w:val="18"/>
          <w:szCs w:val="18"/>
        </w:rPr>
      </w:pPr>
      <w:r>
        <w:rPr>
          <w:rFonts w:ascii="Times New Roman" w:hAnsi="Times New Roman" w:cs="Times New Roman"/>
          <w:color w:val="000000"/>
          <w:sz w:val="18"/>
          <w:szCs w:val="18"/>
        </w:rPr>
        <w:t>2</w:t>
      </w:r>
      <w:r>
        <w:rPr>
          <w:rFonts w:hint="eastAsia"/>
          <w:color w:val="000000"/>
          <w:sz w:val="18"/>
          <w:szCs w:val="18"/>
        </w:rPr>
        <w:t>、公司分别于</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4</w:t>
      </w:r>
      <w:r>
        <w:rPr>
          <w:rFonts w:hint="eastAsia"/>
          <w:color w:val="000000"/>
          <w:sz w:val="18"/>
          <w:szCs w:val="18"/>
        </w:rPr>
        <w:t>月</w:t>
      </w:r>
      <w:r>
        <w:rPr>
          <w:rFonts w:ascii="Times New Roman" w:hAnsi="Times New Roman" w:cs="Times New Roman"/>
          <w:color w:val="000000"/>
          <w:sz w:val="18"/>
          <w:szCs w:val="18"/>
        </w:rPr>
        <w:t>28</w:t>
      </w:r>
      <w:r>
        <w:rPr>
          <w:rFonts w:hint="eastAsia"/>
          <w:color w:val="000000"/>
          <w:sz w:val="18"/>
          <w:szCs w:val="18"/>
        </w:rPr>
        <w:t>日、</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20</w:t>
      </w:r>
      <w:r>
        <w:rPr>
          <w:rFonts w:hint="eastAsia"/>
          <w:color w:val="000000"/>
          <w:sz w:val="18"/>
          <w:szCs w:val="18"/>
        </w:rPr>
        <w:t>日召开第三届董事会</w:t>
      </w:r>
      <w:r>
        <w:rPr>
          <w:rFonts w:ascii="Times New Roman" w:hAnsi="Times New Roman" w:cs="Times New Roman"/>
          <w:color w:val="000000"/>
          <w:sz w:val="18"/>
          <w:szCs w:val="18"/>
        </w:rPr>
        <w:t>2020</w:t>
      </w:r>
      <w:r>
        <w:rPr>
          <w:rFonts w:hint="eastAsia"/>
          <w:color w:val="000000"/>
          <w:sz w:val="18"/>
          <w:szCs w:val="18"/>
        </w:rPr>
        <w:t>年第二次临时会议和</w:t>
      </w:r>
      <w:r>
        <w:rPr>
          <w:rFonts w:ascii="Times New Roman" w:hAnsi="Times New Roman" w:cs="Times New Roman"/>
          <w:color w:val="000000"/>
          <w:sz w:val="18"/>
          <w:szCs w:val="18"/>
        </w:rPr>
        <w:t>2019</w:t>
      </w:r>
      <w:r>
        <w:rPr>
          <w:rFonts w:hint="eastAsia"/>
          <w:color w:val="000000"/>
          <w:sz w:val="18"/>
          <w:szCs w:val="18"/>
        </w:rPr>
        <w:t>年年度股东大会审议通过了《关于</w:t>
      </w:r>
      <w:r>
        <w:rPr>
          <w:rFonts w:ascii="Times New Roman" w:hAnsi="Times New Roman" w:cs="Times New Roman"/>
          <w:color w:val="000000"/>
          <w:sz w:val="18"/>
          <w:szCs w:val="18"/>
        </w:rPr>
        <w:t>2019</w:t>
      </w:r>
      <w:r>
        <w:rPr>
          <w:rFonts w:hint="eastAsia"/>
          <w:color w:val="000000"/>
          <w:sz w:val="18"/>
          <w:szCs w:val="18"/>
        </w:rPr>
        <w:t>年度利润分配预案的议案》。本次权益分派股权登记日为：</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6</w:t>
      </w:r>
      <w:r>
        <w:rPr>
          <w:rFonts w:hint="eastAsia"/>
          <w:color w:val="000000"/>
          <w:sz w:val="18"/>
          <w:szCs w:val="18"/>
        </w:rPr>
        <w:t>月</w:t>
      </w:r>
      <w:r>
        <w:rPr>
          <w:rFonts w:ascii="Times New Roman" w:hAnsi="Times New Roman" w:cs="Times New Roman"/>
          <w:color w:val="000000"/>
          <w:sz w:val="18"/>
          <w:szCs w:val="18"/>
        </w:rPr>
        <w:t>18</w:t>
      </w:r>
      <w:r>
        <w:rPr>
          <w:rFonts w:hint="eastAsia"/>
          <w:color w:val="000000"/>
          <w:sz w:val="18"/>
          <w:szCs w:val="18"/>
        </w:rPr>
        <w:t>日，除权除息日为：</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6</w:t>
      </w:r>
      <w:r>
        <w:rPr>
          <w:rFonts w:hint="eastAsia"/>
          <w:color w:val="000000"/>
          <w:sz w:val="18"/>
          <w:szCs w:val="18"/>
        </w:rPr>
        <w:t>月</w:t>
      </w:r>
      <w:r>
        <w:rPr>
          <w:rFonts w:ascii="Times New Roman" w:hAnsi="Times New Roman" w:cs="Times New Roman"/>
          <w:color w:val="000000"/>
          <w:sz w:val="18"/>
          <w:szCs w:val="18"/>
        </w:rPr>
        <w:t>19</w:t>
      </w:r>
      <w:r>
        <w:rPr>
          <w:rFonts w:hint="eastAsia"/>
          <w:color w:val="000000"/>
          <w:sz w:val="18"/>
          <w:szCs w:val="18"/>
        </w:rPr>
        <w:t>日。本次权益分派方案为：以公司现有总股本</w:t>
      </w:r>
      <w:r>
        <w:rPr>
          <w:rFonts w:ascii="Times New Roman" w:hAnsi="Times New Roman" w:cs="Times New Roman"/>
          <w:color w:val="000000"/>
          <w:sz w:val="18"/>
          <w:szCs w:val="18"/>
        </w:rPr>
        <w:t>274,486,573</w:t>
      </w:r>
      <w:r>
        <w:rPr>
          <w:rFonts w:hint="eastAsia"/>
          <w:color w:val="000000"/>
          <w:sz w:val="18"/>
          <w:szCs w:val="18"/>
        </w:rPr>
        <w:t>股为基数，向全体股东每</w:t>
      </w:r>
      <w:r>
        <w:rPr>
          <w:rFonts w:ascii="Times New Roman" w:hAnsi="Times New Roman" w:cs="Times New Roman"/>
          <w:color w:val="000000"/>
          <w:sz w:val="18"/>
          <w:szCs w:val="18"/>
        </w:rPr>
        <w:t>10</w:t>
      </w:r>
      <w:r>
        <w:rPr>
          <w:rFonts w:hint="eastAsia"/>
          <w:color w:val="000000"/>
          <w:sz w:val="18"/>
          <w:szCs w:val="18"/>
        </w:rPr>
        <w:t>股派发现金红利</w:t>
      </w:r>
      <w:r>
        <w:rPr>
          <w:rFonts w:ascii="Times New Roman" w:hAnsi="Times New Roman" w:cs="Times New Roman"/>
          <w:color w:val="000000"/>
          <w:sz w:val="18"/>
          <w:szCs w:val="18"/>
        </w:rPr>
        <w:t>0.500213</w:t>
      </w:r>
      <w:r>
        <w:rPr>
          <w:rFonts w:hint="eastAsia"/>
          <w:color w:val="000000"/>
          <w:sz w:val="18"/>
          <w:szCs w:val="18"/>
        </w:rPr>
        <w:t>元（含税），不以公积金转增股本，不送红股。根据中国证券监督管理委员会关于可转换公司债券发行的有关规定及《广东翔鹭钨业股份有限公司公开发行可转换公司债券募集说明书》的规定，</w:t>
      </w:r>
      <w:r>
        <w:rPr>
          <w:rFonts w:ascii="Times New Roman" w:hAnsi="Times New Roman" w:cs="Times New Roman"/>
          <w:color w:val="000000"/>
          <w:sz w:val="18"/>
          <w:szCs w:val="18"/>
        </w:rPr>
        <w:t>“</w:t>
      </w:r>
      <w:r>
        <w:rPr>
          <w:rFonts w:hint="eastAsia"/>
          <w:color w:val="000000"/>
          <w:sz w:val="18"/>
          <w:szCs w:val="18"/>
        </w:rPr>
        <w:t>翔鹭转债</w:t>
      </w:r>
      <w:r>
        <w:rPr>
          <w:rFonts w:ascii="Times New Roman" w:hAnsi="Times New Roman" w:cs="Times New Roman"/>
          <w:color w:val="000000"/>
          <w:sz w:val="18"/>
          <w:szCs w:val="18"/>
        </w:rPr>
        <w:t>”</w:t>
      </w:r>
      <w:r>
        <w:rPr>
          <w:rFonts w:hint="eastAsia"/>
          <w:color w:val="000000"/>
          <w:sz w:val="18"/>
          <w:szCs w:val="18"/>
        </w:rPr>
        <w:t>的转股价格由</w:t>
      </w:r>
      <w:r>
        <w:rPr>
          <w:rFonts w:ascii="Times New Roman" w:hAnsi="Times New Roman" w:cs="Times New Roman"/>
          <w:color w:val="000000"/>
          <w:sz w:val="18"/>
          <w:szCs w:val="18"/>
        </w:rPr>
        <w:t>15.36</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股调整为</w:t>
      </w:r>
      <w:r>
        <w:rPr>
          <w:rFonts w:ascii="Times New Roman" w:hAnsi="Times New Roman" w:cs="Times New Roman"/>
          <w:color w:val="000000"/>
          <w:sz w:val="18"/>
          <w:szCs w:val="18"/>
        </w:rPr>
        <w:t>15.31</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股，自</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6</w:t>
      </w:r>
      <w:r>
        <w:rPr>
          <w:rFonts w:hint="eastAsia"/>
          <w:color w:val="000000"/>
          <w:sz w:val="18"/>
          <w:szCs w:val="18"/>
        </w:rPr>
        <w:t>月</w:t>
      </w:r>
      <w:r>
        <w:rPr>
          <w:rFonts w:ascii="Times New Roman" w:hAnsi="Times New Roman" w:cs="Times New Roman"/>
          <w:color w:val="000000"/>
          <w:sz w:val="18"/>
          <w:szCs w:val="18"/>
        </w:rPr>
        <w:t>19</w:t>
      </w:r>
      <w:r>
        <w:rPr>
          <w:rFonts w:hint="eastAsia"/>
          <w:color w:val="000000"/>
          <w:sz w:val="18"/>
          <w:szCs w:val="18"/>
        </w:rPr>
        <w:t>日起生效。</w:t>
      </w:r>
    </w:p>
    <w:p w:rsidR="00E22F4C" w:rsidRDefault="00E22F4C">
      <w:pPr>
        <w:pStyle w:val="a4"/>
        <w:spacing w:before="0" w:beforeAutospacing="0" w:after="0" w:afterAutospacing="0"/>
        <w:jc w:val="both"/>
        <w:divId w:val="604657049"/>
        <w:rPr>
          <w:sz w:val="18"/>
          <w:szCs w:val="18"/>
        </w:rPr>
      </w:pPr>
      <w:r>
        <w:rPr>
          <w:rFonts w:ascii="Times New Roman" w:hAnsi="Times New Roman" w:cs="Times New Roman"/>
          <w:color w:val="000000"/>
          <w:sz w:val="18"/>
          <w:szCs w:val="18"/>
        </w:rPr>
        <w:t>3</w:t>
      </w:r>
      <w:r>
        <w:rPr>
          <w:rFonts w:hint="eastAsia"/>
          <w:color w:val="000000"/>
          <w:sz w:val="18"/>
          <w:szCs w:val="18"/>
        </w:rPr>
        <w:t>、公司于</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8</w:t>
      </w:r>
      <w:r>
        <w:rPr>
          <w:rFonts w:hint="eastAsia"/>
          <w:color w:val="000000"/>
          <w:sz w:val="18"/>
          <w:szCs w:val="18"/>
        </w:rPr>
        <w:t>月</w:t>
      </w:r>
      <w:r>
        <w:rPr>
          <w:rFonts w:ascii="Times New Roman" w:hAnsi="Times New Roman" w:cs="Times New Roman"/>
          <w:color w:val="000000"/>
          <w:sz w:val="18"/>
          <w:szCs w:val="18"/>
        </w:rPr>
        <w:t>22</w:t>
      </w:r>
      <w:r>
        <w:rPr>
          <w:rFonts w:hint="eastAsia"/>
          <w:color w:val="000000"/>
          <w:sz w:val="18"/>
          <w:szCs w:val="18"/>
        </w:rPr>
        <w:t>日召开第三届董事会第四次会议和第三届监事会第十八次会议，审议通过了《关于回购注销部分激励对象已获授但尚未解除限售的限制性股票的议案》，鉴于</w:t>
      </w:r>
      <w:r>
        <w:rPr>
          <w:rFonts w:ascii="Times New Roman" w:hAnsi="Times New Roman" w:cs="Times New Roman"/>
          <w:color w:val="000000"/>
          <w:sz w:val="18"/>
          <w:szCs w:val="18"/>
        </w:rPr>
        <w:t>6</w:t>
      </w:r>
      <w:r>
        <w:rPr>
          <w:rFonts w:hint="eastAsia"/>
          <w:color w:val="000000"/>
          <w:sz w:val="18"/>
          <w:szCs w:val="18"/>
        </w:rPr>
        <w:t>名激励对象因个人原因离职，公司董事会对其已获授但尚未解除限售的</w:t>
      </w:r>
      <w:r>
        <w:rPr>
          <w:rFonts w:ascii="Times New Roman" w:hAnsi="Times New Roman" w:cs="Times New Roman"/>
          <w:color w:val="000000"/>
          <w:sz w:val="18"/>
          <w:szCs w:val="18"/>
        </w:rPr>
        <w:t>203,520</w:t>
      </w:r>
      <w:r>
        <w:rPr>
          <w:rFonts w:hint="eastAsia"/>
          <w:color w:val="000000"/>
          <w:sz w:val="18"/>
          <w:szCs w:val="18"/>
        </w:rPr>
        <w:t>股限制性股票进行回购注销，同时，根据《</w:t>
      </w:r>
      <w:r>
        <w:rPr>
          <w:rFonts w:ascii="Times New Roman" w:hAnsi="Times New Roman" w:cs="Times New Roman"/>
          <w:color w:val="000000"/>
          <w:sz w:val="18"/>
          <w:szCs w:val="18"/>
        </w:rPr>
        <w:t>2018</w:t>
      </w:r>
      <w:r>
        <w:rPr>
          <w:rFonts w:hint="eastAsia"/>
          <w:color w:val="000000"/>
          <w:sz w:val="18"/>
          <w:szCs w:val="18"/>
        </w:rPr>
        <w:t>年限制性股票激励计划》，鉴于以</w:t>
      </w:r>
      <w:r>
        <w:rPr>
          <w:rFonts w:ascii="Times New Roman" w:hAnsi="Times New Roman" w:cs="Times New Roman"/>
          <w:color w:val="000000"/>
          <w:sz w:val="18"/>
          <w:szCs w:val="18"/>
        </w:rPr>
        <w:t>2017</w:t>
      </w:r>
      <w:r>
        <w:rPr>
          <w:rFonts w:hint="eastAsia"/>
          <w:color w:val="000000"/>
          <w:sz w:val="18"/>
          <w:szCs w:val="18"/>
        </w:rPr>
        <w:t>年净</w:t>
      </w:r>
      <w:r>
        <w:rPr>
          <w:rFonts w:hint="eastAsia"/>
          <w:color w:val="000000"/>
          <w:sz w:val="18"/>
          <w:szCs w:val="18"/>
        </w:rPr>
        <w:lastRenderedPageBreak/>
        <w:t>利润为基数，公司</w:t>
      </w:r>
      <w:r>
        <w:rPr>
          <w:rFonts w:ascii="Times New Roman" w:hAnsi="Times New Roman" w:cs="Times New Roman"/>
          <w:color w:val="000000"/>
          <w:sz w:val="18"/>
          <w:szCs w:val="18"/>
        </w:rPr>
        <w:t>2019</w:t>
      </w:r>
      <w:r>
        <w:rPr>
          <w:rFonts w:hint="eastAsia"/>
          <w:color w:val="000000"/>
          <w:sz w:val="18"/>
          <w:szCs w:val="18"/>
        </w:rPr>
        <w:t>年度实现的净利润的增长率低于</w:t>
      </w:r>
      <w:r>
        <w:rPr>
          <w:rFonts w:ascii="Times New Roman" w:hAnsi="Times New Roman" w:cs="Times New Roman"/>
          <w:color w:val="000000"/>
          <w:sz w:val="18"/>
          <w:szCs w:val="18"/>
        </w:rPr>
        <w:t>30%</w:t>
      </w:r>
      <w:r>
        <w:rPr>
          <w:rFonts w:hint="eastAsia"/>
          <w:color w:val="000000"/>
          <w:sz w:val="18"/>
          <w:szCs w:val="18"/>
        </w:rPr>
        <w:t>，公司业绩考核要求未达到《</w:t>
      </w:r>
      <w:r>
        <w:rPr>
          <w:rFonts w:ascii="Times New Roman" w:hAnsi="Times New Roman" w:cs="Times New Roman"/>
          <w:color w:val="000000"/>
          <w:sz w:val="18"/>
          <w:szCs w:val="18"/>
        </w:rPr>
        <w:t>2018</w:t>
      </w:r>
      <w:r>
        <w:rPr>
          <w:rFonts w:hint="eastAsia"/>
          <w:color w:val="000000"/>
          <w:sz w:val="18"/>
          <w:szCs w:val="18"/>
        </w:rPr>
        <w:t>年限制性股票激励计划》所规定的首次授予限制性股票第二个解除限售期的解除限售条件，根据《</w:t>
      </w:r>
      <w:r>
        <w:rPr>
          <w:rFonts w:ascii="Times New Roman" w:hAnsi="Times New Roman" w:cs="Times New Roman"/>
          <w:color w:val="000000"/>
          <w:sz w:val="18"/>
          <w:szCs w:val="18"/>
        </w:rPr>
        <w:t>2018</w:t>
      </w:r>
      <w:r>
        <w:rPr>
          <w:rFonts w:hint="eastAsia"/>
          <w:color w:val="000000"/>
          <w:sz w:val="18"/>
          <w:szCs w:val="18"/>
        </w:rPr>
        <w:t>年限制性股票激励计划》及《上市公司股权激励管理办法》的相关规定，公司对</w:t>
      </w:r>
      <w:r>
        <w:rPr>
          <w:rFonts w:ascii="Times New Roman" w:hAnsi="Times New Roman" w:cs="Times New Roman"/>
          <w:color w:val="000000"/>
          <w:sz w:val="18"/>
          <w:szCs w:val="18"/>
        </w:rPr>
        <w:t>91</w:t>
      </w:r>
      <w:r>
        <w:rPr>
          <w:rFonts w:hint="eastAsia"/>
          <w:color w:val="000000"/>
          <w:sz w:val="18"/>
          <w:szCs w:val="18"/>
        </w:rPr>
        <w:t>名激励对象已获授但尚未解除限售的第二个解除限售期对应的</w:t>
      </w:r>
      <w:r>
        <w:rPr>
          <w:rFonts w:ascii="Times New Roman" w:hAnsi="Times New Roman" w:cs="Times New Roman"/>
          <w:color w:val="000000"/>
          <w:sz w:val="18"/>
          <w:szCs w:val="18"/>
        </w:rPr>
        <w:t>643,440</w:t>
      </w:r>
      <w:r>
        <w:rPr>
          <w:rFonts w:hint="eastAsia"/>
          <w:color w:val="000000"/>
          <w:sz w:val="18"/>
          <w:szCs w:val="18"/>
        </w:rPr>
        <w:t>股限制性股票进行回购注销。根据相关规定及限制性股票回购注销情况，公司应对</w:t>
      </w:r>
      <w:r>
        <w:rPr>
          <w:rFonts w:ascii="Times New Roman" w:hAnsi="Times New Roman" w:cs="Times New Roman"/>
          <w:color w:val="000000"/>
          <w:sz w:val="18"/>
          <w:szCs w:val="18"/>
        </w:rPr>
        <w:t>“</w:t>
      </w:r>
      <w:r>
        <w:rPr>
          <w:rFonts w:hint="eastAsia"/>
          <w:color w:val="000000"/>
          <w:sz w:val="18"/>
          <w:szCs w:val="18"/>
        </w:rPr>
        <w:t>翔鹭转债</w:t>
      </w:r>
      <w:r>
        <w:rPr>
          <w:rFonts w:ascii="Times New Roman" w:hAnsi="Times New Roman" w:cs="Times New Roman"/>
          <w:color w:val="000000"/>
          <w:sz w:val="18"/>
          <w:szCs w:val="18"/>
        </w:rPr>
        <w:t>”</w:t>
      </w:r>
      <w:r>
        <w:rPr>
          <w:rFonts w:hint="eastAsia"/>
          <w:color w:val="000000"/>
          <w:sz w:val="18"/>
          <w:szCs w:val="18"/>
        </w:rPr>
        <w:t>的转股价格进行调整。经计算，本次转股价格由</w:t>
      </w:r>
      <w:r>
        <w:rPr>
          <w:rFonts w:ascii="Times New Roman" w:hAnsi="Times New Roman" w:cs="Times New Roman"/>
          <w:color w:val="000000"/>
          <w:sz w:val="18"/>
          <w:szCs w:val="18"/>
        </w:rPr>
        <w:t>15.31</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股调整为</w:t>
      </w:r>
      <w:r>
        <w:rPr>
          <w:rFonts w:ascii="Times New Roman" w:hAnsi="Times New Roman" w:cs="Times New Roman"/>
          <w:color w:val="000000"/>
          <w:sz w:val="18"/>
          <w:szCs w:val="18"/>
        </w:rPr>
        <w:t>15.34</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股，自</w:t>
      </w:r>
      <w:r>
        <w:rPr>
          <w:rFonts w:ascii="Times New Roman" w:hAnsi="Times New Roman" w:cs="Times New Roman"/>
          <w:color w:val="000000"/>
          <w:sz w:val="18"/>
          <w:szCs w:val="18"/>
        </w:rPr>
        <w:t>2020</w:t>
      </w:r>
      <w:r>
        <w:rPr>
          <w:rFonts w:hint="eastAsia"/>
          <w:color w:val="000000"/>
          <w:sz w:val="18"/>
          <w:szCs w:val="18"/>
        </w:rPr>
        <w:t>年</w:t>
      </w:r>
      <w:r>
        <w:rPr>
          <w:rFonts w:ascii="Times New Roman" w:hAnsi="Times New Roman" w:cs="Times New Roman"/>
          <w:color w:val="000000"/>
          <w:sz w:val="18"/>
          <w:szCs w:val="18"/>
        </w:rPr>
        <w:t>10</w:t>
      </w:r>
      <w:r>
        <w:rPr>
          <w:rFonts w:hint="eastAsia"/>
          <w:color w:val="000000"/>
          <w:sz w:val="18"/>
          <w:szCs w:val="18"/>
        </w:rPr>
        <w:t>月</w:t>
      </w:r>
      <w:r>
        <w:rPr>
          <w:rFonts w:ascii="Times New Roman" w:hAnsi="Times New Roman" w:cs="Times New Roman"/>
          <w:color w:val="000000"/>
          <w:sz w:val="18"/>
          <w:szCs w:val="18"/>
        </w:rPr>
        <w:t>9</w:t>
      </w:r>
      <w:r>
        <w:rPr>
          <w:rFonts w:hint="eastAsia"/>
          <w:color w:val="000000"/>
          <w:sz w:val="18"/>
          <w:szCs w:val="18"/>
        </w:rPr>
        <w:t>日起生效。</w:t>
      </w:r>
    </w:p>
    <w:p w:rsidR="00E22F4C" w:rsidRDefault="00E22F4C">
      <w:pPr>
        <w:pStyle w:val="a4"/>
        <w:spacing w:before="0" w:beforeAutospacing="0" w:after="0" w:afterAutospacing="0"/>
        <w:jc w:val="both"/>
        <w:divId w:val="604657049"/>
        <w:rPr>
          <w:sz w:val="18"/>
          <w:szCs w:val="18"/>
        </w:rPr>
      </w:pPr>
      <w:r>
        <w:rPr>
          <w:rFonts w:ascii="Times New Roman" w:hAnsi="Times New Roman" w:cs="Times New Roman"/>
          <w:color w:val="000000"/>
          <w:sz w:val="18"/>
          <w:szCs w:val="18"/>
        </w:rPr>
        <w:t>4</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4</w:t>
      </w:r>
      <w:r>
        <w:rPr>
          <w:rFonts w:hint="eastAsia"/>
          <w:color w:val="000000"/>
          <w:sz w:val="18"/>
          <w:szCs w:val="18"/>
        </w:rPr>
        <w:t>月</w:t>
      </w:r>
      <w:r>
        <w:rPr>
          <w:rFonts w:ascii="Times New Roman" w:hAnsi="Times New Roman" w:cs="Times New Roman"/>
          <w:color w:val="000000"/>
          <w:sz w:val="18"/>
          <w:szCs w:val="18"/>
        </w:rPr>
        <w:t>28</w:t>
      </w:r>
      <w:r>
        <w:rPr>
          <w:rFonts w:hint="eastAsia"/>
          <w:color w:val="000000"/>
          <w:sz w:val="18"/>
          <w:szCs w:val="18"/>
        </w:rPr>
        <w:t>日，公司召开第三届董事会</w:t>
      </w:r>
      <w:r>
        <w:rPr>
          <w:rFonts w:ascii="Times New Roman" w:hAnsi="Times New Roman" w:cs="Times New Roman"/>
          <w:color w:val="000000"/>
          <w:sz w:val="18"/>
          <w:szCs w:val="18"/>
        </w:rPr>
        <w:t>2021</w:t>
      </w:r>
      <w:r>
        <w:rPr>
          <w:rFonts w:hint="eastAsia"/>
          <w:color w:val="000000"/>
          <w:sz w:val="18"/>
          <w:szCs w:val="18"/>
        </w:rPr>
        <w:t>年第二次临时会议和第三届监事会第二十二次会议，审议通过了《关于回购注销部分激励对象已获授但尚未解除限售的限制性股票的议案》，鉴于</w:t>
      </w:r>
      <w:r>
        <w:rPr>
          <w:rFonts w:ascii="Times New Roman" w:hAnsi="Times New Roman" w:cs="Times New Roman"/>
          <w:color w:val="000000"/>
          <w:sz w:val="18"/>
          <w:szCs w:val="18"/>
        </w:rPr>
        <w:t>6</w:t>
      </w:r>
      <w:r>
        <w:rPr>
          <w:rFonts w:hint="eastAsia"/>
          <w:color w:val="000000"/>
          <w:sz w:val="18"/>
          <w:szCs w:val="18"/>
        </w:rPr>
        <w:t>名激励对象因个人原因离职，公司董事会拟对其已获授但尚未解除限售的</w:t>
      </w:r>
      <w:r>
        <w:rPr>
          <w:rFonts w:ascii="Times New Roman" w:hAnsi="Times New Roman" w:cs="Times New Roman"/>
          <w:color w:val="000000"/>
          <w:sz w:val="18"/>
          <w:szCs w:val="18"/>
        </w:rPr>
        <w:t>39,360</w:t>
      </w:r>
      <w:r>
        <w:rPr>
          <w:rFonts w:hint="eastAsia"/>
          <w:color w:val="000000"/>
          <w:sz w:val="18"/>
          <w:szCs w:val="18"/>
        </w:rPr>
        <w:t>股限制性股票进行回购注销，同时，根据《</w:t>
      </w:r>
      <w:r>
        <w:rPr>
          <w:rFonts w:ascii="Times New Roman" w:hAnsi="Times New Roman" w:cs="Times New Roman"/>
          <w:color w:val="000000"/>
          <w:sz w:val="18"/>
          <w:szCs w:val="18"/>
        </w:rPr>
        <w:t>2018</w:t>
      </w:r>
      <w:r>
        <w:rPr>
          <w:rFonts w:hint="eastAsia"/>
          <w:color w:val="000000"/>
          <w:sz w:val="18"/>
          <w:szCs w:val="18"/>
        </w:rPr>
        <w:t>年限制性股票激励计划》，鉴于以</w:t>
      </w:r>
      <w:r>
        <w:rPr>
          <w:rFonts w:ascii="Times New Roman" w:hAnsi="Times New Roman" w:cs="Times New Roman"/>
          <w:color w:val="000000"/>
          <w:sz w:val="18"/>
          <w:szCs w:val="18"/>
        </w:rPr>
        <w:t>2017</w:t>
      </w:r>
      <w:r>
        <w:rPr>
          <w:rFonts w:hint="eastAsia"/>
          <w:color w:val="000000"/>
          <w:sz w:val="18"/>
          <w:szCs w:val="18"/>
        </w:rPr>
        <w:t>年净利润为基数，公司</w:t>
      </w:r>
      <w:r>
        <w:rPr>
          <w:rFonts w:ascii="Times New Roman" w:hAnsi="Times New Roman" w:cs="Times New Roman"/>
          <w:color w:val="000000"/>
          <w:sz w:val="18"/>
          <w:szCs w:val="18"/>
        </w:rPr>
        <w:t>2020</w:t>
      </w:r>
      <w:r>
        <w:rPr>
          <w:rFonts w:hint="eastAsia"/>
          <w:color w:val="000000"/>
          <w:sz w:val="18"/>
          <w:szCs w:val="18"/>
        </w:rPr>
        <w:t>年度实现的净利润的增长率低于</w:t>
      </w:r>
      <w:r>
        <w:rPr>
          <w:rFonts w:ascii="Times New Roman" w:hAnsi="Times New Roman" w:cs="Times New Roman"/>
          <w:color w:val="000000"/>
          <w:sz w:val="18"/>
          <w:szCs w:val="18"/>
        </w:rPr>
        <w:t>45%</w:t>
      </w:r>
      <w:r>
        <w:rPr>
          <w:rFonts w:hint="eastAsia"/>
          <w:color w:val="000000"/>
          <w:sz w:val="18"/>
          <w:szCs w:val="18"/>
        </w:rPr>
        <w:t>，公司业绩考核要求未达到《</w:t>
      </w:r>
      <w:r>
        <w:rPr>
          <w:rFonts w:ascii="Times New Roman" w:hAnsi="Times New Roman" w:cs="Times New Roman"/>
          <w:color w:val="000000"/>
          <w:sz w:val="18"/>
          <w:szCs w:val="18"/>
        </w:rPr>
        <w:t>2018</w:t>
      </w:r>
      <w:r>
        <w:rPr>
          <w:rFonts w:hint="eastAsia"/>
          <w:color w:val="000000"/>
          <w:sz w:val="18"/>
          <w:szCs w:val="18"/>
        </w:rPr>
        <w:t>年限制性股票激励计划》所规定的首次授予限制性股票第三个解除限售期的解除限售条件，根据《</w:t>
      </w:r>
      <w:r>
        <w:rPr>
          <w:rFonts w:ascii="Times New Roman" w:hAnsi="Times New Roman" w:cs="Times New Roman"/>
          <w:color w:val="000000"/>
          <w:sz w:val="18"/>
          <w:szCs w:val="18"/>
        </w:rPr>
        <w:t>2018</w:t>
      </w:r>
      <w:r>
        <w:rPr>
          <w:rFonts w:hint="eastAsia"/>
          <w:color w:val="000000"/>
          <w:sz w:val="18"/>
          <w:szCs w:val="18"/>
        </w:rPr>
        <w:t>年限制性股票激励计划》及《上市公司股权激励管理办法》的相关规定，公司拟对</w:t>
      </w:r>
      <w:r>
        <w:rPr>
          <w:rFonts w:ascii="Times New Roman" w:hAnsi="Times New Roman" w:cs="Times New Roman"/>
          <w:color w:val="000000"/>
          <w:sz w:val="18"/>
          <w:szCs w:val="18"/>
        </w:rPr>
        <w:t>85</w:t>
      </w:r>
      <w:r>
        <w:rPr>
          <w:rFonts w:hint="eastAsia"/>
          <w:color w:val="000000"/>
          <w:sz w:val="18"/>
          <w:szCs w:val="18"/>
        </w:rPr>
        <w:t>名激励对象已获授但尚未解除限售的第三个解除限售期对应的</w:t>
      </w:r>
      <w:r>
        <w:rPr>
          <w:rFonts w:ascii="Times New Roman" w:hAnsi="Times New Roman" w:cs="Times New Roman"/>
          <w:color w:val="000000"/>
          <w:sz w:val="18"/>
          <w:szCs w:val="18"/>
        </w:rPr>
        <w:t>604,080</w:t>
      </w:r>
      <w:r>
        <w:rPr>
          <w:rFonts w:hint="eastAsia"/>
          <w:color w:val="000000"/>
          <w:sz w:val="18"/>
          <w:szCs w:val="18"/>
        </w:rPr>
        <w:t>股限制性股票进行回购注销，本次回购注销的限制性股票数量合计为</w:t>
      </w:r>
      <w:r>
        <w:rPr>
          <w:rFonts w:ascii="Times New Roman" w:hAnsi="Times New Roman" w:cs="Times New Roman"/>
          <w:color w:val="000000"/>
          <w:sz w:val="18"/>
          <w:szCs w:val="18"/>
        </w:rPr>
        <w:t>643,440</w:t>
      </w:r>
      <w:r>
        <w:rPr>
          <w:rFonts w:hint="eastAsia"/>
          <w:color w:val="000000"/>
          <w:sz w:val="18"/>
          <w:szCs w:val="18"/>
        </w:rPr>
        <w:t>股。根据相关规定及限制性股票回购注销情况，公司应对</w:t>
      </w:r>
      <w:r>
        <w:rPr>
          <w:rFonts w:ascii="Times New Roman" w:hAnsi="Times New Roman" w:cs="Times New Roman"/>
          <w:color w:val="000000"/>
          <w:sz w:val="18"/>
          <w:szCs w:val="18"/>
        </w:rPr>
        <w:t>“</w:t>
      </w:r>
      <w:r>
        <w:rPr>
          <w:rFonts w:hint="eastAsia"/>
          <w:color w:val="000000"/>
          <w:sz w:val="18"/>
          <w:szCs w:val="18"/>
        </w:rPr>
        <w:t>翔鹭转债</w:t>
      </w:r>
      <w:r>
        <w:rPr>
          <w:rFonts w:ascii="Times New Roman" w:hAnsi="Times New Roman" w:cs="Times New Roman"/>
          <w:color w:val="000000"/>
          <w:sz w:val="18"/>
          <w:szCs w:val="18"/>
        </w:rPr>
        <w:t>”</w:t>
      </w:r>
      <w:r>
        <w:rPr>
          <w:rFonts w:hint="eastAsia"/>
          <w:color w:val="000000"/>
          <w:sz w:val="18"/>
          <w:szCs w:val="18"/>
        </w:rPr>
        <w:t>的转股价格进行调整。经计算，本次转股价格由</w:t>
      </w:r>
      <w:r>
        <w:rPr>
          <w:rFonts w:ascii="Times New Roman" w:hAnsi="Times New Roman" w:cs="Times New Roman"/>
          <w:color w:val="000000"/>
          <w:sz w:val="18"/>
          <w:szCs w:val="18"/>
        </w:rPr>
        <w:t>15.34</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股调整为</w:t>
      </w:r>
      <w:r>
        <w:rPr>
          <w:rFonts w:ascii="Times New Roman" w:hAnsi="Times New Roman" w:cs="Times New Roman"/>
          <w:color w:val="000000"/>
          <w:sz w:val="18"/>
          <w:szCs w:val="18"/>
        </w:rPr>
        <w:t>15.36</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股，自</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7</w:t>
      </w:r>
      <w:r>
        <w:rPr>
          <w:rFonts w:hint="eastAsia"/>
          <w:color w:val="000000"/>
          <w:sz w:val="18"/>
          <w:szCs w:val="18"/>
        </w:rPr>
        <w:t>月</w:t>
      </w:r>
      <w:r>
        <w:rPr>
          <w:rFonts w:ascii="Times New Roman" w:hAnsi="Times New Roman" w:cs="Times New Roman"/>
          <w:color w:val="000000"/>
          <w:sz w:val="18"/>
          <w:szCs w:val="18"/>
        </w:rPr>
        <w:t>16</w:t>
      </w:r>
      <w:r>
        <w:rPr>
          <w:rFonts w:hint="eastAsia"/>
          <w:color w:val="000000"/>
          <w:sz w:val="18"/>
          <w:szCs w:val="18"/>
        </w:rPr>
        <w:t>日起生效。</w:t>
      </w:r>
    </w:p>
    <w:p w:rsidR="00E22F4C" w:rsidRDefault="00E22F4C">
      <w:pPr>
        <w:pStyle w:val="a4"/>
        <w:spacing w:before="0" w:beforeAutospacing="0" w:after="0" w:afterAutospacing="0"/>
        <w:jc w:val="both"/>
        <w:divId w:val="604657049"/>
        <w:rPr>
          <w:sz w:val="18"/>
          <w:szCs w:val="18"/>
        </w:rPr>
      </w:pPr>
      <w:r>
        <w:rPr>
          <w:rFonts w:ascii="Times New Roman" w:hAnsi="Times New Roman" w:cs="Times New Roman"/>
          <w:color w:val="000000"/>
          <w:sz w:val="18"/>
          <w:szCs w:val="18"/>
        </w:rPr>
        <w:t>5</w:t>
      </w:r>
      <w:r>
        <w:rPr>
          <w:rFonts w:hint="eastAsia"/>
          <w:color w:val="000000"/>
          <w:sz w:val="18"/>
          <w:szCs w:val="18"/>
        </w:rPr>
        <w:t>、</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11</w:t>
      </w:r>
      <w:r>
        <w:rPr>
          <w:rFonts w:hint="eastAsia"/>
          <w:color w:val="000000"/>
          <w:sz w:val="18"/>
          <w:szCs w:val="18"/>
        </w:rPr>
        <w:t>月</w:t>
      </w:r>
      <w:r>
        <w:rPr>
          <w:rFonts w:ascii="Times New Roman" w:hAnsi="Times New Roman" w:cs="Times New Roman"/>
          <w:color w:val="000000"/>
          <w:sz w:val="18"/>
          <w:szCs w:val="18"/>
        </w:rPr>
        <w:t>3</w:t>
      </w:r>
      <w:r>
        <w:rPr>
          <w:rFonts w:hint="eastAsia"/>
          <w:color w:val="000000"/>
          <w:sz w:val="18"/>
          <w:szCs w:val="18"/>
        </w:rPr>
        <w:t>日，公司召开第四届董事会</w:t>
      </w:r>
      <w:r>
        <w:rPr>
          <w:rFonts w:ascii="Times New Roman" w:hAnsi="Times New Roman" w:cs="Times New Roman"/>
          <w:color w:val="000000"/>
          <w:sz w:val="18"/>
          <w:szCs w:val="18"/>
        </w:rPr>
        <w:t>2021</w:t>
      </w:r>
      <w:r>
        <w:rPr>
          <w:rFonts w:hint="eastAsia"/>
          <w:color w:val="000000"/>
          <w:sz w:val="18"/>
          <w:szCs w:val="18"/>
        </w:rPr>
        <w:t>年第六次临时会议和第四届监事会第七次会议，审议通过《关于调整公司</w:t>
      </w:r>
      <w:r>
        <w:rPr>
          <w:rFonts w:ascii="Times New Roman" w:hAnsi="Times New Roman" w:cs="Times New Roman"/>
          <w:color w:val="000000"/>
          <w:sz w:val="18"/>
          <w:szCs w:val="18"/>
        </w:rPr>
        <w:t>2021</w:t>
      </w:r>
      <w:r>
        <w:rPr>
          <w:rFonts w:hint="eastAsia"/>
          <w:color w:val="000000"/>
          <w:sz w:val="18"/>
          <w:szCs w:val="18"/>
        </w:rPr>
        <w:t>年限制性股票激励计划相关事项的议案》、《关于向公司</w:t>
      </w:r>
      <w:r>
        <w:rPr>
          <w:rFonts w:ascii="Times New Roman" w:hAnsi="Times New Roman" w:cs="Times New Roman"/>
          <w:color w:val="000000"/>
          <w:sz w:val="18"/>
          <w:szCs w:val="18"/>
        </w:rPr>
        <w:t>2021</w:t>
      </w:r>
      <w:r>
        <w:rPr>
          <w:rFonts w:hint="eastAsia"/>
          <w:color w:val="000000"/>
          <w:sz w:val="18"/>
          <w:szCs w:val="18"/>
        </w:rPr>
        <w:t>年限制性股票激励计划激励对象首次授予限制性股票相关事项的议案》等议案，确定以</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11</w:t>
      </w:r>
      <w:r>
        <w:rPr>
          <w:rFonts w:hint="eastAsia"/>
          <w:color w:val="000000"/>
          <w:sz w:val="18"/>
          <w:szCs w:val="18"/>
        </w:rPr>
        <w:t>月</w:t>
      </w:r>
      <w:r>
        <w:rPr>
          <w:rFonts w:ascii="Times New Roman" w:hAnsi="Times New Roman" w:cs="Times New Roman"/>
          <w:color w:val="000000"/>
          <w:sz w:val="18"/>
          <w:szCs w:val="18"/>
        </w:rPr>
        <w:t>3</w:t>
      </w:r>
      <w:r>
        <w:rPr>
          <w:rFonts w:hint="eastAsia"/>
          <w:color w:val="000000"/>
          <w:sz w:val="18"/>
          <w:szCs w:val="18"/>
        </w:rPr>
        <w:t>日作为激励计划的授予日，向符合条件的激励对象授予</w:t>
      </w:r>
      <w:r>
        <w:rPr>
          <w:rFonts w:ascii="Times New Roman" w:hAnsi="Times New Roman" w:cs="Times New Roman"/>
          <w:color w:val="000000"/>
          <w:sz w:val="18"/>
          <w:szCs w:val="18"/>
        </w:rPr>
        <w:t>467.00</w:t>
      </w:r>
      <w:r>
        <w:rPr>
          <w:rFonts w:hint="eastAsia"/>
          <w:color w:val="000000"/>
          <w:sz w:val="18"/>
          <w:szCs w:val="18"/>
        </w:rPr>
        <w:t>万股限制性股票。具体详见公司披露的《关于向激励对象首次授予限制性股票的公告》（公告编号：</w:t>
      </w:r>
      <w:r>
        <w:rPr>
          <w:rFonts w:ascii="Times New Roman" w:hAnsi="Times New Roman" w:cs="Times New Roman"/>
          <w:color w:val="000000"/>
          <w:sz w:val="18"/>
          <w:szCs w:val="18"/>
        </w:rPr>
        <w:t>2021-090</w:t>
      </w:r>
      <w:r>
        <w:rPr>
          <w:rFonts w:hint="eastAsia"/>
          <w:color w:val="000000"/>
          <w:sz w:val="18"/>
          <w:szCs w:val="18"/>
        </w:rPr>
        <w:t>）。公司已在中国证券登记结算有限责任公司深圳分公司完成了上述</w:t>
      </w:r>
      <w:r>
        <w:rPr>
          <w:rFonts w:ascii="Times New Roman" w:hAnsi="Times New Roman" w:cs="Times New Roman"/>
          <w:color w:val="000000"/>
          <w:sz w:val="18"/>
          <w:szCs w:val="18"/>
        </w:rPr>
        <w:t>467.00</w:t>
      </w:r>
      <w:r>
        <w:rPr>
          <w:rFonts w:hint="eastAsia"/>
          <w:color w:val="000000"/>
          <w:sz w:val="18"/>
          <w:szCs w:val="18"/>
        </w:rPr>
        <w:t>万股限制性股票的授予登记工作，上市日为</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11</w:t>
      </w:r>
      <w:r>
        <w:rPr>
          <w:rFonts w:hint="eastAsia"/>
          <w:color w:val="000000"/>
          <w:sz w:val="18"/>
          <w:szCs w:val="18"/>
        </w:rPr>
        <w:t>月</w:t>
      </w:r>
      <w:r>
        <w:rPr>
          <w:rFonts w:ascii="Times New Roman" w:hAnsi="Times New Roman" w:cs="Times New Roman"/>
          <w:color w:val="000000"/>
          <w:sz w:val="18"/>
          <w:szCs w:val="18"/>
        </w:rPr>
        <w:t>19</w:t>
      </w:r>
      <w:r>
        <w:rPr>
          <w:rFonts w:hint="eastAsia"/>
          <w:color w:val="000000"/>
          <w:sz w:val="18"/>
          <w:szCs w:val="18"/>
        </w:rPr>
        <w:t>日。根据相关规定及授予限制性股票完成情况，公司应对</w:t>
      </w:r>
      <w:r>
        <w:rPr>
          <w:rFonts w:ascii="Times New Roman" w:hAnsi="Times New Roman" w:cs="Times New Roman"/>
          <w:color w:val="000000"/>
          <w:sz w:val="18"/>
          <w:szCs w:val="18"/>
        </w:rPr>
        <w:t>“</w:t>
      </w:r>
      <w:r>
        <w:rPr>
          <w:rFonts w:hint="eastAsia"/>
          <w:color w:val="000000"/>
          <w:sz w:val="18"/>
          <w:szCs w:val="18"/>
        </w:rPr>
        <w:t>翔鹭转债</w:t>
      </w:r>
      <w:r>
        <w:rPr>
          <w:rFonts w:ascii="Times New Roman" w:hAnsi="Times New Roman" w:cs="Times New Roman"/>
          <w:color w:val="000000"/>
          <w:sz w:val="18"/>
          <w:szCs w:val="18"/>
        </w:rPr>
        <w:t>”</w:t>
      </w:r>
      <w:r>
        <w:rPr>
          <w:rFonts w:hint="eastAsia"/>
          <w:color w:val="000000"/>
          <w:sz w:val="18"/>
          <w:szCs w:val="18"/>
        </w:rPr>
        <w:t>的转股价格进行调整。经计算，转股价格由</w:t>
      </w:r>
      <w:r>
        <w:rPr>
          <w:rFonts w:ascii="Times New Roman" w:hAnsi="Times New Roman" w:cs="Times New Roman"/>
          <w:color w:val="000000"/>
          <w:sz w:val="18"/>
          <w:szCs w:val="18"/>
        </w:rPr>
        <w:t>15.36</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股调整为</w:t>
      </w:r>
      <w:r>
        <w:rPr>
          <w:rFonts w:ascii="Times New Roman" w:hAnsi="Times New Roman" w:cs="Times New Roman"/>
          <w:color w:val="000000"/>
          <w:sz w:val="18"/>
          <w:szCs w:val="18"/>
        </w:rPr>
        <w:t>15.19</w:t>
      </w:r>
      <w:r>
        <w:rPr>
          <w:rFonts w:hint="eastAsia"/>
          <w:color w:val="000000"/>
          <w:sz w:val="18"/>
          <w:szCs w:val="18"/>
        </w:rPr>
        <w:t>元</w:t>
      </w:r>
      <w:r>
        <w:rPr>
          <w:rFonts w:ascii="Times New Roman" w:hAnsi="Times New Roman" w:cs="Times New Roman"/>
          <w:color w:val="000000"/>
          <w:sz w:val="18"/>
          <w:szCs w:val="18"/>
        </w:rPr>
        <w:t>/</w:t>
      </w:r>
      <w:r>
        <w:rPr>
          <w:rFonts w:hint="eastAsia"/>
          <w:color w:val="000000"/>
          <w:sz w:val="18"/>
          <w:szCs w:val="18"/>
        </w:rPr>
        <w:t>股。具体内容详见公司于</w:t>
      </w:r>
      <w:r>
        <w:rPr>
          <w:rFonts w:ascii="Times New Roman" w:hAnsi="Times New Roman" w:cs="Times New Roman"/>
          <w:color w:val="000000"/>
          <w:sz w:val="18"/>
          <w:szCs w:val="18"/>
        </w:rPr>
        <w:t>2021</w:t>
      </w:r>
      <w:r>
        <w:rPr>
          <w:rFonts w:hint="eastAsia"/>
          <w:color w:val="000000"/>
          <w:sz w:val="18"/>
          <w:szCs w:val="18"/>
        </w:rPr>
        <w:t>年</w:t>
      </w:r>
      <w:r>
        <w:rPr>
          <w:rFonts w:ascii="Times New Roman" w:hAnsi="Times New Roman" w:cs="Times New Roman"/>
          <w:color w:val="000000"/>
          <w:sz w:val="18"/>
          <w:szCs w:val="18"/>
        </w:rPr>
        <w:t>11</w:t>
      </w:r>
      <w:r>
        <w:rPr>
          <w:rFonts w:hint="eastAsia"/>
          <w:color w:val="000000"/>
          <w:sz w:val="18"/>
          <w:szCs w:val="18"/>
        </w:rPr>
        <w:t>月</w:t>
      </w:r>
      <w:r>
        <w:rPr>
          <w:rFonts w:ascii="Times New Roman" w:hAnsi="Times New Roman" w:cs="Times New Roman"/>
          <w:color w:val="000000"/>
          <w:sz w:val="18"/>
          <w:szCs w:val="18"/>
        </w:rPr>
        <w:t>18</w:t>
      </w:r>
      <w:r>
        <w:rPr>
          <w:rFonts w:hint="eastAsia"/>
          <w:color w:val="000000"/>
          <w:sz w:val="18"/>
          <w:szCs w:val="18"/>
        </w:rPr>
        <w:t>日披露的《广东翔鹭钨业股份有限公司关于调整</w:t>
      </w:r>
      <w:r>
        <w:rPr>
          <w:rFonts w:ascii="Times New Roman" w:hAnsi="Times New Roman" w:cs="Times New Roman"/>
          <w:color w:val="000000"/>
          <w:sz w:val="18"/>
          <w:szCs w:val="18"/>
        </w:rPr>
        <w:t>“</w:t>
      </w:r>
      <w:r>
        <w:rPr>
          <w:rFonts w:hint="eastAsia"/>
          <w:color w:val="000000"/>
          <w:sz w:val="18"/>
          <w:szCs w:val="18"/>
        </w:rPr>
        <w:t>翔鹭转债</w:t>
      </w:r>
      <w:r>
        <w:rPr>
          <w:rFonts w:ascii="Times New Roman" w:hAnsi="Times New Roman" w:cs="Times New Roman"/>
          <w:color w:val="000000"/>
          <w:sz w:val="18"/>
          <w:szCs w:val="18"/>
        </w:rPr>
        <w:t>”</w:t>
      </w:r>
      <w:r>
        <w:rPr>
          <w:rFonts w:hint="eastAsia"/>
          <w:color w:val="000000"/>
          <w:sz w:val="18"/>
          <w:szCs w:val="18"/>
        </w:rPr>
        <w:t>转股价格的公告》（公告编号：</w:t>
      </w:r>
      <w:r>
        <w:rPr>
          <w:rFonts w:ascii="Times New Roman" w:hAnsi="Times New Roman" w:cs="Times New Roman"/>
          <w:color w:val="000000"/>
          <w:sz w:val="18"/>
          <w:szCs w:val="18"/>
        </w:rPr>
        <w:t>2021-092</w:t>
      </w:r>
      <w:r>
        <w:rPr>
          <w:rFonts w:hint="eastAsia"/>
          <w:color w:val="000000"/>
          <w:sz w:val="18"/>
          <w:szCs w:val="18"/>
        </w:rPr>
        <w:t>）</w:t>
      </w:r>
    </w:p>
    <w:p w:rsidR="00E22F4C" w:rsidRDefault="00E22F4C">
      <w:pPr>
        <w:pStyle w:val="a4"/>
        <w:spacing w:before="0" w:beforeAutospacing="0" w:after="0" w:afterAutospacing="0"/>
        <w:jc w:val="both"/>
        <w:divId w:val="604657049"/>
        <w:rPr>
          <w:sz w:val="18"/>
          <w:szCs w:val="18"/>
        </w:rPr>
      </w:pPr>
      <w:r>
        <w:rPr>
          <w:rFonts w:hint="eastAsia"/>
          <w:color w:val="000000"/>
          <w:sz w:val="18"/>
          <w:szCs w:val="18"/>
        </w:rPr>
        <w:t>6、2022年4月29日、2022年5月20日，公司先后召开第四届董事会2022年第一次临时会议和2021年年度股东大会，审议通过了《关于2021年度利润分配预案的议案》。此次权益分派方案为：以公司现有总股本277,672,044股为基数，向全体股东每10股派发现金红利1元（含税），不以公积金转增股本，不送红股。根据中国证券监督管理委员会关于可转换公司债券发行的有关规定及《募集说明书》的规定，“翔鹭转债”的转股价格调整为15.09元/股。具体内容详见公司2022年6月2日于巨潮资讯网（</w:t>
      </w:r>
      <w:hyperlink r:id="rId27" w:history="1">
        <w:r>
          <w:rPr>
            <w:rStyle w:val="a6"/>
            <w:rFonts w:hint="eastAsia"/>
            <w:sz w:val="18"/>
            <w:szCs w:val="18"/>
          </w:rPr>
          <w:t>http://www.cninfo.com.cn</w:t>
        </w:r>
      </w:hyperlink>
      <w:r>
        <w:rPr>
          <w:rFonts w:hint="eastAsia"/>
          <w:color w:val="000000"/>
          <w:sz w:val="18"/>
          <w:szCs w:val="18"/>
        </w:rPr>
        <w:t>）披露的《广东翔鹭钨业股份有限公司关于“翔鹭转债”转股价格调整的公告》（公告编号：2022-028）。</w:t>
      </w:r>
    </w:p>
    <w:p w:rsidR="00E22F4C" w:rsidRDefault="00381575">
      <w:pPr>
        <w:pStyle w:val="3"/>
        <w:spacing w:line="280" w:lineRule="exact"/>
        <w:jc w:val="left"/>
        <w:rPr>
          <w:rFonts w:ascii="宋体" w:hAnsi="宋体" w:cs="宋体"/>
          <w:b/>
          <w:bCs/>
        </w:rPr>
      </w:pPr>
      <w:bookmarkStart w:id="153" w:name="_Toc989042"/>
      <w:r>
        <w:rPr>
          <w:rFonts w:ascii="宋体" w:hAnsi="宋体" w:cs="宋体"/>
          <w:b/>
          <w:bCs/>
        </w:rPr>
        <w:t>2、累计转股情况</w:t>
      </w:r>
      <w:bookmarkEnd w:id="15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转债简称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转股起止日期</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发行总量（张）</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发行总金额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累计转股金额（元）</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累计转股数</w:t>
            </w:r>
          </w:p>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转股数量占转股开始日前公司已发行股份总额的比例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尚未转股金额(元)</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未转股金额占发行总金额的比例</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翔鹭转债</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2020年02月26日-2025年8月19日</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3,019,223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301,922,300.00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190,300.00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12,448</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0.41%</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301,732,000.00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0.06%</w:t>
            </w:r>
          </w:p>
        </w:tc>
      </w:tr>
    </w:tbl>
    <w:p w:rsidR="00E22F4C" w:rsidRDefault="00381575">
      <w:pPr>
        <w:pStyle w:val="3"/>
        <w:spacing w:line="280" w:lineRule="exact"/>
        <w:jc w:val="left"/>
        <w:rPr>
          <w:rFonts w:ascii="宋体" w:hAnsi="宋体" w:cs="宋体"/>
          <w:b/>
          <w:bCs/>
        </w:rPr>
      </w:pPr>
      <w:bookmarkStart w:id="154" w:name="_Toc989043"/>
      <w:r>
        <w:rPr>
          <w:rFonts w:ascii="宋体" w:hAnsi="宋体" w:cs="宋体"/>
          <w:b/>
          <w:bCs/>
        </w:rPr>
        <w:t>3、前十名可转债持有人情况</w:t>
      </w:r>
      <w:bookmarkEnd w:id="15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序号</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可转债持有人名</w:t>
            </w:r>
            <w:r>
              <w:rPr>
                <w:rFonts w:ascii="宋体" w:eastAsia="宋体" w:hAnsi="宋体" w:cs="宋体"/>
                <w:sz w:val="18"/>
                <w:szCs w:val="18"/>
              </w:rPr>
              <w:lastRenderedPageBreak/>
              <w:t>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可转债持有人性</w:t>
            </w:r>
            <w:r>
              <w:rPr>
                <w:rFonts w:ascii="宋体" w:eastAsia="宋体" w:hAnsi="宋体" w:cs="宋体"/>
                <w:sz w:val="18"/>
                <w:szCs w:val="18"/>
              </w:rPr>
              <w:lastRenderedPageBreak/>
              <w:t>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报告期末持有可</w:t>
            </w:r>
            <w:r>
              <w:rPr>
                <w:rFonts w:ascii="宋体" w:eastAsia="宋体" w:hAnsi="宋体" w:cs="宋体"/>
                <w:sz w:val="18"/>
                <w:szCs w:val="18"/>
              </w:rPr>
              <w:lastRenderedPageBreak/>
              <w:t>转债数量（张）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报告期末持有可</w:t>
            </w:r>
            <w:r>
              <w:rPr>
                <w:rFonts w:ascii="宋体" w:eastAsia="宋体" w:hAnsi="宋体" w:cs="宋体"/>
                <w:sz w:val="18"/>
                <w:szCs w:val="18"/>
              </w:rPr>
              <w:lastRenderedPageBreak/>
              <w:t>转债金额（元）</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报告期末持有可</w:t>
            </w:r>
            <w:r>
              <w:rPr>
                <w:rFonts w:ascii="宋体" w:eastAsia="宋体" w:hAnsi="宋体" w:cs="宋体"/>
                <w:sz w:val="18"/>
                <w:szCs w:val="18"/>
              </w:rPr>
              <w:lastRenderedPageBreak/>
              <w:t>转债占比</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UBS AG</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境外法人</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115,940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11,594,000.00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3.84%</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国寿养老红义</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固定收益型养</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老金产品－中</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国工商银行股</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份有限公司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6,000,000.00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1.99%</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3</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上海浦东发展</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银行股份有限</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公司－易方达</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裕祥回报债券</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型证券投资基</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55,845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5,584,500.00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1.85%</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中融国际信托</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有限公司－中</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融－墨砺29</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号证券投资集</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合资金信托计</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划</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52,552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5,255,200.00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1.74%</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陈晓红</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47,480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4,748,000.00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1.57%</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深圳市林园投</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资管理有限责</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任公司－林园</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投资172号</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私募证券投资</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基金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44,970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4,497,000.00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1.49%</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黄永山</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39,997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3,999,700.00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1.33%</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中国民生银行</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股份有限公司</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－东方双债添</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利债券型证券</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投资基金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3,300,000.00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1.09%</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中融国际信托</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有限公司－中</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融－墨砺15</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号证券投资集</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合资金信托计</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划</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32,112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3,211,200.00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1.06%</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10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深圳市林园投</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资管理有限责</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任公司－林园</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投资188号</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私募证券投资</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基金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28,290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2,829,000.00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0.94%</w:t>
            </w:r>
          </w:p>
        </w:tc>
      </w:tr>
    </w:tbl>
    <w:p w:rsidR="00E22F4C" w:rsidRDefault="00381575">
      <w:pPr>
        <w:pStyle w:val="3"/>
        <w:spacing w:line="280" w:lineRule="exact"/>
        <w:jc w:val="left"/>
        <w:rPr>
          <w:rFonts w:ascii="宋体" w:hAnsi="宋体" w:cs="宋体"/>
          <w:b/>
          <w:bCs/>
        </w:rPr>
      </w:pPr>
      <w:bookmarkStart w:id="155" w:name="_Toc989044"/>
      <w:r>
        <w:rPr>
          <w:rFonts w:ascii="宋体" w:hAnsi="宋体" w:cs="宋体"/>
          <w:b/>
          <w:bCs/>
        </w:rPr>
        <w:t>4、担保人盈利能力、资产状况和信用状况发生重大变化的情况</w:t>
      </w:r>
      <w:bookmarkEnd w:id="15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156" w:name="_Toc989045"/>
      <w:r>
        <w:rPr>
          <w:rFonts w:ascii="宋体" w:hAnsi="宋体" w:cs="宋体"/>
          <w:b/>
          <w:bCs/>
        </w:rPr>
        <w:t>5、报告期末公司的负债情况、资信变化情况以及在未来年度还债的现金安排</w:t>
      </w:r>
      <w:bookmarkEnd w:id="156"/>
    </w:p>
    <w:p w:rsidR="00E22F4C" w:rsidRDefault="00E22F4C">
      <w:pPr>
        <w:pStyle w:val="a4"/>
        <w:spacing w:before="40" w:beforeAutospacing="0" w:after="40" w:afterAutospacing="0"/>
        <w:jc w:val="both"/>
        <w:divId w:val="817379796"/>
        <w:rPr>
          <w:sz w:val="18"/>
          <w:szCs w:val="18"/>
        </w:rPr>
      </w:pPr>
      <w:r>
        <w:rPr>
          <w:rFonts w:ascii="Times New Roman" w:hAnsi="Times New Roman" w:cs="Times New Roman"/>
          <w:color w:val="000000"/>
          <w:sz w:val="18"/>
          <w:szCs w:val="18"/>
        </w:rPr>
        <w:t> 2022</w:t>
      </w:r>
      <w:r>
        <w:rPr>
          <w:rFonts w:hint="eastAsia"/>
          <w:color w:val="000000"/>
          <w:sz w:val="18"/>
          <w:szCs w:val="18"/>
        </w:rPr>
        <w:t>年</w:t>
      </w:r>
      <w:r>
        <w:rPr>
          <w:rFonts w:ascii="Times New Roman" w:hAnsi="Times New Roman" w:cs="Times New Roman"/>
          <w:color w:val="000000"/>
          <w:sz w:val="18"/>
          <w:szCs w:val="18"/>
        </w:rPr>
        <w:t>6</w:t>
      </w:r>
      <w:r>
        <w:rPr>
          <w:rFonts w:hint="eastAsia"/>
          <w:color w:val="000000"/>
          <w:sz w:val="18"/>
          <w:szCs w:val="18"/>
        </w:rPr>
        <w:t>月</w:t>
      </w:r>
      <w:r>
        <w:rPr>
          <w:rFonts w:ascii="Times New Roman" w:hAnsi="Times New Roman" w:cs="Times New Roman"/>
          <w:color w:val="000000"/>
          <w:sz w:val="18"/>
          <w:szCs w:val="18"/>
        </w:rPr>
        <w:t>29</w:t>
      </w:r>
      <w:r>
        <w:rPr>
          <w:rFonts w:hint="eastAsia"/>
          <w:color w:val="000000"/>
          <w:sz w:val="18"/>
          <w:szCs w:val="18"/>
        </w:rPr>
        <w:t>日，中证鹏元资信评估股份有限公司出具了《</w:t>
      </w:r>
      <w:r>
        <w:rPr>
          <w:rFonts w:ascii="Times New Roman" w:hAnsi="Times New Roman" w:cs="Times New Roman"/>
          <w:color w:val="000000"/>
          <w:sz w:val="18"/>
          <w:szCs w:val="18"/>
        </w:rPr>
        <w:t>2019</w:t>
      </w:r>
      <w:r>
        <w:rPr>
          <w:rFonts w:hint="eastAsia"/>
          <w:color w:val="000000"/>
          <w:sz w:val="18"/>
          <w:szCs w:val="18"/>
        </w:rPr>
        <w:t>年广东翔鹭钨业股份有限公司可转换公司债券</w:t>
      </w:r>
      <w:r>
        <w:rPr>
          <w:rFonts w:ascii="Times New Roman" w:hAnsi="Times New Roman" w:cs="Times New Roman"/>
          <w:color w:val="000000"/>
          <w:sz w:val="18"/>
          <w:szCs w:val="18"/>
        </w:rPr>
        <w:t>2022</w:t>
      </w:r>
      <w:r>
        <w:rPr>
          <w:rFonts w:hint="eastAsia"/>
          <w:color w:val="000000"/>
          <w:sz w:val="18"/>
          <w:szCs w:val="18"/>
        </w:rPr>
        <w:t>年跟踪信用评级报告》（中鹏信评【</w:t>
      </w:r>
      <w:r>
        <w:rPr>
          <w:rFonts w:ascii="Times New Roman" w:hAnsi="Times New Roman" w:cs="Times New Roman"/>
          <w:color w:val="000000"/>
          <w:sz w:val="18"/>
          <w:szCs w:val="18"/>
        </w:rPr>
        <w:t>2022</w:t>
      </w:r>
      <w:r>
        <w:rPr>
          <w:rFonts w:hint="eastAsia"/>
          <w:color w:val="000000"/>
          <w:sz w:val="18"/>
          <w:szCs w:val="18"/>
        </w:rPr>
        <w:t>】跟踪第【</w:t>
      </w:r>
      <w:r>
        <w:rPr>
          <w:rFonts w:ascii="Times New Roman" w:hAnsi="Times New Roman" w:cs="Times New Roman"/>
          <w:color w:val="000000"/>
          <w:sz w:val="18"/>
          <w:szCs w:val="18"/>
        </w:rPr>
        <w:t>659</w:t>
      </w:r>
      <w:r>
        <w:rPr>
          <w:rFonts w:hint="eastAsia"/>
          <w:color w:val="000000"/>
          <w:sz w:val="18"/>
          <w:szCs w:val="18"/>
        </w:rPr>
        <w:t>】号</w:t>
      </w:r>
      <w:r>
        <w:rPr>
          <w:rFonts w:ascii="Times New Roman" w:hAnsi="Times New Roman" w:cs="Times New Roman"/>
          <w:color w:val="000000"/>
          <w:sz w:val="18"/>
          <w:szCs w:val="18"/>
        </w:rPr>
        <w:t>01</w:t>
      </w:r>
      <w:r>
        <w:rPr>
          <w:rFonts w:hint="eastAsia"/>
          <w:color w:val="000000"/>
          <w:sz w:val="18"/>
          <w:szCs w:val="18"/>
        </w:rPr>
        <w:t>），中证鹏元资信评估股份有限公司评定广东翔鹭钨业股份有限公司主体信用等级为</w:t>
      </w:r>
      <w:r>
        <w:rPr>
          <w:rFonts w:ascii="Times New Roman" w:hAnsi="Times New Roman" w:cs="Times New Roman"/>
          <w:color w:val="000000"/>
          <w:sz w:val="18"/>
          <w:szCs w:val="18"/>
        </w:rPr>
        <w:t>A+</w:t>
      </w:r>
      <w:r>
        <w:rPr>
          <w:rFonts w:hint="eastAsia"/>
          <w:color w:val="000000"/>
          <w:sz w:val="18"/>
          <w:szCs w:val="18"/>
        </w:rPr>
        <w:t>，该级别反映了本期债券安全性很高，违约风险很低，报告期内可转债资信评级状况无</w:t>
      </w:r>
      <w:r>
        <w:rPr>
          <w:rFonts w:hint="eastAsia"/>
          <w:color w:val="000000"/>
          <w:sz w:val="18"/>
          <w:szCs w:val="18"/>
        </w:rPr>
        <w:lastRenderedPageBreak/>
        <w:t>变化。公司经营情况稳定，资信情况良好，公司将合理安排资金，保证未来支付可转换公司债券利息、偿付债券。可转债相关财务指标及同期比对变动情况见本节</w:t>
      </w:r>
      <w:r>
        <w:rPr>
          <w:rFonts w:ascii="Times New Roman" w:hAnsi="Times New Roman" w:cs="Times New Roman"/>
          <w:color w:val="000000"/>
          <w:sz w:val="18"/>
          <w:szCs w:val="18"/>
        </w:rPr>
        <w:t>“</w:t>
      </w:r>
      <w:r>
        <w:rPr>
          <w:rFonts w:hint="eastAsia"/>
          <w:color w:val="000000"/>
          <w:sz w:val="18"/>
          <w:szCs w:val="18"/>
        </w:rPr>
        <w:t>八、截至报告期末公司近两年的主要会计数据和财务指标</w:t>
      </w:r>
      <w:r>
        <w:rPr>
          <w:rFonts w:ascii="Times New Roman" w:hAnsi="Times New Roman" w:cs="Times New Roman"/>
          <w:color w:val="000000"/>
          <w:sz w:val="18"/>
          <w:szCs w:val="18"/>
        </w:rPr>
        <w:t>”</w:t>
      </w:r>
      <w:r>
        <w:rPr>
          <w:rFonts w:hint="eastAsia"/>
          <w:color w:val="000000"/>
          <w:sz w:val="18"/>
          <w:szCs w:val="18"/>
        </w:rPr>
        <w:t>。</w:t>
      </w:r>
    </w:p>
    <w:p w:rsidR="00E22F4C" w:rsidRDefault="00381575">
      <w:pPr>
        <w:pStyle w:val="2"/>
        <w:spacing w:before="300" w:after="300" w:line="320" w:lineRule="exact"/>
        <w:rPr>
          <w:rFonts w:ascii="宋体" w:eastAsia="宋体" w:hAnsi="宋体" w:cs="宋体"/>
          <w:b/>
          <w:bCs/>
          <w:sz w:val="24"/>
          <w:szCs w:val="24"/>
        </w:rPr>
      </w:pPr>
      <w:bookmarkStart w:id="157" w:name="_Toc989046"/>
      <w:r>
        <w:rPr>
          <w:rFonts w:ascii="宋体" w:eastAsia="宋体" w:hAnsi="宋体" w:cs="宋体"/>
          <w:b/>
          <w:bCs/>
          <w:sz w:val="24"/>
          <w:szCs w:val="24"/>
        </w:rPr>
        <w:t>五、报告期内合并报表范围亏损超过上年末净资产10%</w:t>
      </w:r>
      <w:bookmarkEnd w:id="15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158" w:name="_Toc989047"/>
      <w:r>
        <w:rPr>
          <w:rFonts w:ascii="宋体" w:eastAsia="宋体" w:hAnsi="宋体" w:cs="宋体"/>
          <w:b/>
          <w:bCs/>
          <w:sz w:val="24"/>
          <w:szCs w:val="24"/>
        </w:rPr>
        <w:t>六、报告期末除债券外的有息债务逾期情况</w:t>
      </w:r>
      <w:bookmarkEnd w:id="15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2"/>
        <w:spacing w:before="300" w:after="300" w:line="320" w:lineRule="exact"/>
        <w:rPr>
          <w:rFonts w:ascii="宋体" w:eastAsia="宋体" w:hAnsi="宋体" w:cs="宋体"/>
          <w:b/>
          <w:bCs/>
          <w:sz w:val="24"/>
          <w:szCs w:val="24"/>
        </w:rPr>
      </w:pPr>
      <w:bookmarkStart w:id="159" w:name="_Toc989048"/>
      <w:r>
        <w:rPr>
          <w:rFonts w:ascii="宋体" w:eastAsia="宋体" w:hAnsi="宋体" w:cs="宋体"/>
          <w:b/>
          <w:bCs/>
          <w:sz w:val="24"/>
          <w:szCs w:val="24"/>
        </w:rPr>
        <w:t>七、报告期内是否有违反规章制度的情况</w:t>
      </w:r>
      <w:bookmarkEnd w:id="15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pStyle w:val="2"/>
        <w:spacing w:before="300" w:after="300" w:line="320" w:lineRule="exact"/>
        <w:rPr>
          <w:rFonts w:ascii="宋体" w:eastAsia="宋体" w:hAnsi="宋体" w:cs="宋体"/>
          <w:b/>
          <w:bCs/>
          <w:sz w:val="24"/>
          <w:szCs w:val="24"/>
        </w:rPr>
      </w:pPr>
      <w:bookmarkStart w:id="160" w:name="_Toc989049"/>
      <w:r>
        <w:rPr>
          <w:rFonts w:ascii="宋体" w:eastAsia="宋体" w:hAnsi="宋体" w:cs="宋体"/>
          <w:b/>
          <w:bCs/>
          <w:sz w:val="24"/>
          <w:szCs w:val="24"/>
        </w:rPr>
        <w:t>八、截至报告期末公司近两年的主要会计数据和财务指标</w:t>
      </w:r>
      <w:bookmarkEnd w:id="16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上年末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本报告期末比上年末增减</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流动比率</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-3.18%</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资产负债率</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57.04%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58.26%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速动比率</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0.65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0.73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-10.96%</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上年同期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本报告期比上年同期增减</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扣除非经常性损益后净利润</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-5,136.53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1,703.21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-401.58%</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EBITDA全部债务比</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-0.83%</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利息保障倍数</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0.59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-55.97%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现金利息保障倍数</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38.34%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EBITDA利息保障倍数</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-30.41%</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贷款偿还率</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利息偿付率</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E22F4C" w:rsidRDefault="00381575">
      <w:r>
        <w:br w:type="page"/>
      </w:r>
    </w:p>
    <w:p w:rsidR="00E22F4C" w:rsidRDefault="00381575">
      <w:pPr>
        <w:pStyle w:val="headingh1"/>
        <w:spacing w:before="340" w:after="330" w:line="773" w:lineRule="exact"/>
        <w:jc w:val="center"/>
        <w:rPr>
          <w:rFonts w:ascii="宋体" w:eastAsia="宋体" w:hAnsi="宋体" w:cs="宋体"/>
          <w:b/>
          <w:bCs/>
          <w:sz w:val="32"/>
          <w:szCs w:val="32"/>
        </w:rPr>
      </w:pPr>
      <w:bookmarkStart w:id="161" w:name="_Toc989050"/>
      <w:r>
        <w:rPr>
          <w:rFonts w:ascii="宋体" w:eastAsia="宋体" w:hAnsi="宋体" w:cs="宋体"/>
          <w:b/>
          <w:bCs/>
          <w:sz w:val="32"/>
          <w:szCs w:val="32"/>
        </w:rPr>
        <w:lastRenderedPageBreak/>
        <w:t>第十节 财务报告</w:t>
      </w:r>
      <w:bookmarkEnd w:id="161"/>
    </w:p>
    <w:p w:rsidR="00E22F4C" w:rsidRDefault="00381575">
      <w:pPr>
        <w:pStyle w:val="2"/>
        <w:spacing w:before="300" w:after="300" w:line="320" w:lineRule="exact"/>
        <w:rPr>
          <w:rFonts w:ascii="宋体" w:eastAsia="宋体" w:hAnsi="宋体" w:cs="宋体"/>
          <w:b/>
          <w:bCs/>
          <w:sz w:val="24"/>
          <w:szCs w:val="24"/>
        </w:rPr>
      </w:pPr>
      <w:bookmarkStart w:id="162" w:name="_Toc989051"/>
      <w:r>
        <w:rPr>
          <w:rFonts w:ascii="宋体" w:eastAsia="宋体" w:hAnsi="宋体" w:cs="宋体"/>
          <w:b/>
          <w:bCs/>
          <w:sz w:val="24"/>
          <w:szCs w:val="24"/>
        </w:rPr>
        <w:t>一、审计报告</w:t>
      </w:r>
      <w:bookmarkEnd w:id="162"/>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审计意见类型</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标准的无保留意见</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审计报告签署日期</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2023年04月20日</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审计机构名称</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广东司农会计师事务所（特殊普通合伙）</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审计报告文号</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司农审字[2023]23000310028号</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周锋 马钟宏</w:t>
            </w:r>
          </w:p>
        </w:tc>
      </w:tr>
    </w:tbl>
    <w:p w:rsidR="00E22F4C" w:rsidRDefault="00381575">
      <w:pPr>
        <w:spacing w:before="100" w:after="100" w:line="240" w:lineRule="exact"/>
        <w:jc w:val="center"/>
        <w:rPr>
          <w:rFonts w:ascii="宋体" w:eastAsia="宋体" w:hAnsi="宋体" w:cs="宋体"/>
          <w:sz w:val="18"/>
          <w:szCs w:val="18"/>
        </w:rPr>
      </w:pPr>
      <w:r>
        <w:rPr>
          <w:rFonts w:ascii="宋体" w:eastAsia="宋体" w:hAnsi="宋体" w:cs="宋体"/>
          <w:sz w:val="18"/>
          <w:szCs w:val="18"/>
        </w:rPr>
        <w:t>审计报告正文</w:t>
      </w:r>
    </w:p>
    <w:p w:rsidR="00E22F4C" w:rsidRDefault="00E22F4C">
      <w:pPr>
        <w:pStyle w:val="1"/>
        <w:spacing w:before="0" w:beforeAutospacing="0" w:after="0" w:afterAutospacing="0" w:line="576" w:lineRule="auto"/>
        <w:jc w:val="center"/>
        <w:divId w:val="306663501"/>
        <w:rPr>
          <w:rFonts w:ascii="Times New Roman" w:hAnsi="Times New Roman" w:cs="Times New Roman"/>
          <w:sz w:val="44"/>
          <w:szCs w:val="44"/>
        </w:rPr>
      </w:pPr>
      <w:r>
        <w:rPr>
          <w:rStyle w:val="a5"/>
          <w:rFonts w:cs="Times New Roman" w:hint="eastAsia"/>
          <w:b/>
          <w:bCs/>
          <w:sz w:val="44"/>
          <w:szCs w:val="44"/>
        </w:rPr>
        <w:t>审</w:t>
      </w:r>
      <w:r>
        <w:rPr>
          <w:rStyle w:val="a5"/>
          <w:rFonts w:ascii="Times New Roman" w:hAnsi="Times New Roman" w:cs="Times New Roman"/>
          <w:b/>
          <w:bCs/>
          <w:sz w:val="44"/>
          <w:szCs w:val="44"/>
        </w:rPr>
        <w:t xml:space="preserve">   </w:t>
      </w:r>
      <w:r>
        <w:rPr>
          <w:rStyle w:val="a5"/>
          <w:rFonts w:cs="Times New Roman" w:hint="eastAsia"/>
          <w:b/>
          <w:bCs/>
          <w:sz w:val="44"/>
          <w:szCs w:val="44"/>
        </w:rPr>
        <w:t>计</w:t>
      </w:r>
      <w:r>
        <w:rPr>
          <w:rStyle w:val="a5"/>
          <w:rFonts w:ascii="Times New Roman" w:hAnsi="Times New Roman" w:cs="Times New Roman"/>
          <w:b/>
          <w:bCs/>
          <w:sz w:val="44"/>
          <w:szCs w:val="44"/>
        </w:rPr>
        <w:t xml:space="preserve">   </w:t>
      </w:r>
      <w:r>
        <w:rPr>
          <w:rStyle w:val="a5"/>
          <w:rFonts w:cs="Times New Roman" w:hint="eastAsia"/>
          <w:b/>
          <w:bCs/>
          <w:sz w:val="44"/>
          <w:szCs w:val="44"/>
        </w:rPr>
        <w:t>报</w:t>
      </w:r>
      <w:r>
        <w:rPr>
          <w:rStyle w:val="a5"/>
          <w:rFonts w:ascii="Times New Roman" w:hAnsi="Times New Roman" w:cs="Times New Roman"/>
          <w:b/>
          <w:bCs/>
          <w:sz w:val="44"/>
          <w:szCs w:val="44"/>
        </w:rPr>
        <w:t xml:space="preserve">   </w:t>
      </w:r>
      <w:r>
        <w:rPr>
          <w:rStyle w:val="a5"/>
          <w:rFonts w:cs="Times New Roman" w:hint="eastAsia"/>
          <w:b/>
          <w:bCs/>
          <w:sz w:val="44"/>
          <w:szCs w:val="44"/>
        </w:rPr>
        <w:t>告</w:t>
      </w:r>
    </w:p>
    <w:p w:rsidR="00E22F4C" w:rsidRDefault="00E22F4C">
      <w:pPr>
        <w:pStyle w:val="a4"/>
        <w:spacing w:before="0" w:beforeAutospacing="0" w:after="0" w:afterAutospacing="0"/>
        <w:jc w:val="both"/>
        <w:divId w:val="306663501"/>
        <w:rPr>
          <w:rFonts w:ascii="Times New Roman" w:hAnsi="Times New Roman" w:cs="Times New Roman"/>
          <w:sz w:val="21"/>
          <w:szCs w:val="21"/>
        </w:rPr>
      </w:pPr>
      <w:r>
        <w:rPr>
          <w:rFonts w:ascii="Times New Roman" w:hAnsi="Times New Roman" w:cs="Times New Roman"/>
        </w:rPr>
        <w:t> </w:t>
      </w:r>
    </w:p>
    <w:p w:rsidR="00E22F4C" w:rsidRDefault="00E22F4C">
      <w:pPr>
        <w:pStyle w:val="a4"/>
        <w:spacing w:before="0" w:beforeAutospacing="0" w:after="0" w:afterAutospacing="0"/>
        <w:jc w:val="both"/>
        <w:divId w:val="306663501"/>
        <w:rPr>
          <w:rFonts w:ascii="Times New Roman" w:hAnsi="Times New Roman" w:cs="Times New Roman"/>
          <w:sz w:val="21"/>
          <w:szCs w:val="21"/>
        </w:rPr>
      </w:pPr>
      <w:r>
        <w:rPr>
          <w:rFonts w:ascii="Times New Roman" w:hAnsi="Times New Roman" w:cs="Times New Roman"/>
        </w:rPr>
        <w:t> </w:t>
      </w:r>
    </w:p>
    <w:p w:rsidR="00E22F4C" w:rsidRDefault="00E22F4C">
      <w:pPr>
        <w:pStyle w:val="a4"/>
        <w:spacing w:before="0" w:beforeAutospacing="0" w:after="0" w:afterAutospacing="0"/>
        <w:jc w:val="right"/>
        <w:divId w:val="306663501"/>
        <w:rPr>
          <w:rFonts w:ascii="Times New Roman" w:hAnsi="Times New Roman" w:cs="Times New Roman"/>
          <w:sz w:val="21"/>
          <w:szCs w:val="21"/>
        </w:rPr>
      </w:pPr>
      <w:r>
        <w:rPr>
          <w:rStyle w:val="a5"/>
          <w:rFonts w:cs="Times New Roman" w:hint="eastAsia"/>
        </w:rPr>
        <w:t>司农审字</w:t>
      </w:r>
      <w:r>
        <w:rPr>
          <w:rStyle w:val="a5"/>
          <w:rFonts w:ascii="Times New Roman" w:hAnsi="Times New Roman" w:cs="Times New Roman"/>
        </w:rPr>
        <w:t>[2023]</w:t>
      </w:r>
      <w:r>
        <w:rPr>
          <w:rStyle w:val="a5"/>
          <w:rFonts w:ascii="Times New Roman" w:hAnsi="Times New Roman" w:cs="Times New Roman"/>
          <w:color w:val="333333"/>
          <w:shd w:val="clear" w:color="auto" w:fill="FFFFFF"/>
        </w:rPr>
        <w:t>23000310028</w:t>
      </w:r>
      <w:r>
        <w:rPr>
          <w:rStyle w:val="a5"/>
          <w:rFonts w:cs="Times New Roman" w:hint="eastAsia"/>
        </w:rPr>
        <w:t>号</w:t>
      </w:r>
      <w:r>
        <w:rPr>
          <w:rFonts w:ascii="Times New Roman" w:hAnsi="Times New Roman" w:cs="Times New Roman"/>
        </w:rPr>
        <w:t>                                     </w:t>
      </w:r>
    </w:p>
    <w:p w:rsidR="00E22F4C" w:rsidRDefault="00E22F4C">
      <w:pPr>
        <w:pStyle w:val="a4"/>
        <w:spacing w:before="240" w:beforeAutospacing="0" w:after="360" w:afterAutospacing="0" w:line="442" w:lineRule="atLeast"/>
        <w:jc w:val="both"/>
        <w:divId w:val="306663501"/>
        <w:rPr>
          <w:rFonts w:ascii="Times New Roman" w:hAnsi="Times New Roman" w:cs="Times New Roman"/>
          <w:sz w:val="21"/>
          <w:szCs w:val="21"/>
        </w:rPr>
      </w:pPr>
      <w:r>
        <w:rPr>
          <w:rStyle w:val="a5"/>
          <w:rFonts w:cs="Times New Roman" w:hint="eastAsia"/>
          <w:sz w:val="28"/>
          <w:szCs w:val="28"/>
        </w:rPr>
        <w:t>广东翔鹭钨业股份有限公司全体股东：</w:t>
      </w:r>
    </w:p>
    <w:p w:rsidR="00E22F4C" w:rsidRDefault="00E22F4C">
      <w:pPr>
        <w:pStyle w:val="a4"/>
        <w:spacing w:before="240" w:beforeAutospacing="0" w:after="120" w:afterAutospacing="0" w:line="440" w:lineRule="atLeast"/>
        <w:jc w:val="both"/>
        <w:divId w:val="306663501"/>
        <w:rPr>
          <w:sz w:val="21"/>
          <w:szCs w:val="21"/>
        </w:rPr>
      </w:pPr>
      <w:r>
        <w:rPr>
          <w:rStyle w:val="a5"/>
          <w:rFonts w:hint="eastAsia"/>
        </w:rPr>
        <w:t>一、审计意见</w:t>
      </w:r>
    </w:p>
    <w:p w:rsidR="00E22F4C" w:rsidRDefault="00E22F4C">
      <w:pPr>
        <w:pStyle w:val="200"/>
        <w:spacing w:before="240" w:beforeAutospacing="0" w:after="50" w:afterAutospacing="0" w:line="440" w:lineRule="atLeast"/>
        <w:ind w:firstLine="480"/>
        <w:jc w:val="both"/>
        <w:divId w:val="306663501"/>
        <w:rPr>
          <w:sz w:val="18"/>
          <w:szCs w:val="18"/>
        </w:rPr>
      </w:pPr>
      <w:r>
        <w:rPr>
          <w:rFonts w:cs="Times New Roman" w:hint="eastAsia"/>
        </w:rPr>
        <w:t>我们审计了广东翔鹭钨业股份有限公司（以下简称</w:t>
      </w:r>
      <w:r>
        <w:rPr>
          <w:rFonts w:hint="eastAsia"/>
        </w:rPr>
        <w:t>“</w:t>
      </w:r>
      <w:r>
        <w:rPr>
          <w:rFonts w:cs="Times New Roman" w:hint="eastAsia"/>
        </w:rPr>
        <w:t>翔鹭钨业</w:t>
      </w:r>
      <w:r>
        <w:rPr>
          <w:rFonts w:hint="eastAsia"/>
        </w:rPr>
        <w:t>”</w:t>
      </w:r>
      <w:r>
        <w:rPr>
          <w:rFonts w:cs="Times New Roman" w:hint="eastAsia"/>
        </w:rPr>
        <w:t>）财务报表，包括</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日的合并及母公司资产负债表，</w:t>
      </w:r>
      <w:r>
        <w:rPr>
          <w:rFonts w:ascii="Times New Roman" w:hAnsi="Times New Roman" w:cs="Times New Roman"/>
        </w:rPr>
        <w:t>2022</w:t>
      </w:r>
      <w:r>
        <w:rPr>
          <w:rFonts w:cs="Times New Roman" w:hint="eastAsia"/>
        </w:rPr>
        <w:t>年度的合并及母公司利润表、合并及母公司现金流量表、合并及母公司所有者权益变动表以及相关财务报表附注。</w:t>
      </w:r>
    </w:p>
    <w:p w:rsidR="00E22F4C" w:rsidRDefault="00E22F4C">
      <w:pPr>
        <w:pStyle w:val="200"/>
        <w:spacing w:before="240" w:beforeAutospacing="0" w:after="50" w:afterAutospacing="0" w:line="440" w:lineRule="atLeast"/>
        <w:ind w:firstLine="480"/>
        <w:jc w:val="both"/>
        <w:divId w:val="306663501"/>
        <w:rPr>
          <w:sz w:val="18"/>
          <w:szCs w:val="18"/>
        </w:rPr>
      </w:pPr>
      <w:r>
        <w:rPr>
          <w:rFonts w:cs="Times New Roman" w:hint="eastAsia"/>
        </w:rPr>
        <w:t>我们认为，后附的财务报表在所有重大方面按照企业会计准则的规定编制，公允反映了翔鹭钨业</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日的合并及母公司财务状况以及</w:t>
      </w:r>
      <w:r>
        <w:rPr>
          <w:rFonts w:ascii="Times New Roman" w:hAnsi="Times New Roman" w:cs="Times New Roman"/>
        </w:rPr>
        <w:t>2022</w:t>
      </w:r>
      <w:r>
        <w:rPr>
          <w:rFonts w:cs="Times New Roman" w:hint="eastAsia"/>
        </w:rPr>
        <w:t>年度的合并及母公司经营成果和现金流量。</w:t>
      </w:r>
    </w:p>
    <w:p w:rsidR="00E22F4C" w:rsidRDefault="00E22F4C">
      <w:pPr>
        <w:pStyle w:val="a4"/>
        <w:spacing w:before="240" w:beforeAutospacing="0" w:after="120" w:afterAutospacing="0" w:line="440" w:lineRule="atLeast"/>
        <w:jc w:val="both"/>
        <w:divId w:val="306663501"/>
        <w:rPr>
          <w:sz w:val="21"/>
          <w:szCs w:val="21"/>
        </w:rPr>
      </w:pPr>
      <w:r>
        <w:rPr>
          <w:rStyle w:val="a5"/>
          <w:rFonts w:hint="eastAsia"/>
        </w:rPr>
        <w:t>二、形成审计意见的基础</w:t>
      </w:r>
    </w:p>
    <w:p w:rsidR="00E22F4C" w:rsidRDefault="00E22F4C">
      <w:pPr>
        <w:pStyle w:val="200"/>
        <w:spacing w:before="240" w:beforeAutospacing="0" w:after="50" w:afterAutospacing="0" w:line="440" w:lineRule="atLeast"/>
        <w:ind w:firstLine="480"/>
        <w:jc w:val="both"/>
        <w:divId w:val="306663501"/>
        <w:rPr>
          <w:sz w:val="18"/>
          <w:szCs w:val="18"/>
        </w:rPr>
      </w:pPr>
      <w:r>
        <w:rPr>
          <w:rFonts w:cs="Times New Roman" w:hint="eastAsia"/>
        </w:rPr>
        <w:t>我们按照中国注册会计师审计准则的规定执行了审计工作。审计报告的</w:t>
      </w:r>
      <w:r>
        <w:rPr>
          <w:rFonts w:hint="eastAsia"/>
        </w:rPr>
        <w:t>“</w:t>
      </w:r>
      <w:r>
        <w:rPr>
          <w:rFonts w:cs="Times New Roman" w:hint="eastAsia"/>
        </w:rPr>
        <w:t>注册会计师对财务报表审计的责任</w:t>
      </w:r>
      <w:r>
        <w:rPr>
          <w:rFonts w:hint="eastAsia"/>
        </w:rPr>
        <w:t>”</w:t>
      </w:r>
      <w:r>
        <w:rPr>
          <w:rFonts w:cs="Times New Roman" w:hint="eastAsia"/>
        </w:rPr>
        <w:t>部分进一步阐述了我们在这些准则下的责任。按照中国注册会计师职业道德守则，我们独立于翔鹭钨业，并履行了职业道德方面的其他责任。我们相信，我们获取的审计证据是充分、适当的，为发表审计意见提供了基础。</w:t>
      </w:r>
    </w:p>
    <w:p w:rsidR="00E22F4C" w:rsidRDefault="00E22F4C">
      <w:pPr>
        <w:pStyle w:val="a4"/>
        <w:spacing w:before="240" w:beforeAutospacing="0" w:after="120" w:afterAutospacing="0" w:line="440" w:lineRule="atLeast"/>
        <w:jc w:val="both"/>
        <w:divId w:val="306663501"/>
        <w:rPr>
          <w:sz w:val="21"/>
          <w:szCs w:val="21"/>
        </w:rPr>
      </w:pPr>
      <w:r>
        <w:rPr>
          <w:rStyle w:val="a5"/>
          <w:rFonts w:hint="eastAsia"/>
        </w:rPr>
        <w:t>三、关键审计事项</w:t>
      </w:r>
    </w:p>
    <w:p w:rsidR="00E22F4C" w:rsidRDefault="00E22F4C">
      <w:pPr>
        <w:pStyle w:val="200"/>
        <w:spacing w:before="240" w:beforeAutospacing="0" w:after="50" w:afterAutospacing="0" w:line="440" w:lineRule="atLeast"/>
        <w:ind w:firstLine="480"/>
        <w:jc w:val="both"/>
        <w:divId w:val="306663501"/>
        <w:rPr>
          <w:sz w:val="18"/>
          <w:szCs w:val="18"/>
        </w:rPr>
      </w:pPr>
      <w:r>
        <w:rPr>
          <w:rFonts w:cs="Times New Roman" w:hint="eastAsia"/>
        </w:rPr>
        <w:lastRenderedPageBreak/>
        <w:t>关键审计事项是我们根据职业判断，认为对本期财务报表审计最为重要的事项。这些事项的应对以对财务报表整体进行审计并形成审计意见为背景，我们不对这些事项单独发表意见。</w:t>
      </w:r>
    </w:p>
    <w:p w:rsidR="00E22F4C" w:rsidRDefault="00E22F4C">
      <w:pPr>
        <w:pStyle w:val="21"/>
        <w:ind w:firstLine="480"/>
        <w:divId w:val="306663501"/>
        <w:rPr>
          <w:sz w:val="18"/>
          <w:szCs w:val="18"/>
        </w:rPr>
      </w:pPr>
      <w:r>
        <w:rPr>
          <w:rFonts w:hint="eastAsia"/>
        </w:rPr>
        <w:t>（一）收入确认</w:t>
      </w:r>
    </w:p>
    <w:p w:rsidR="00E22F4C" w:rsidRDefault="00E22F4C">
      <w:pPr>
        <w:pStyle w:val="200"/>
        <w:spacing w:before="120" w:beforeAutospacing="0" w:after="50" w:afterAutospacing="0" w:line="440" w:lineRule="atLeast"/>
        <w:ind w:firstLine="480"/>
        <w:jc w:val="both"/>
        <w:divId w:val="306663501"/>
        <w:rPr>
          <w:sz w:val="18"/>
          <w:szCs w:val="18"/>
        </w:rPr>
      </w:pPr>
      <w:r>
        <w:rPr>
          <w:rFonts w:ascii="Times New Roman" w:hAnsi="Times New Roman" w:cs="Times New Roman"/>
        </w:rPr>
        <w:t>1.</w:t>
      </w:r>
      <w:r>
        <w:rPr>
          <w:rFonts w:cs="Times New Roman" w:hint="eastAsia"/>
        </w:rPr>
        <w:t>事项描述</w:t>
      </w:r>
    </w:p>
    <w:p w:rsidR="00E22F4C" w:rsidRDefault="00E22F4C">
      <w:pPr>
        <w:pStyle w:val="200"/>
        <w:spacing w:before="120" w:beforeAutospacing="0" w:after="50" w:afterAutospacing="0" w:line="440" w:lineRule="atLeast"/>
        <w:ind w:firstLine="480"/>
        <w:jc w:val="both"/>
        <w:divId w:val="306663501"/>
        <w:rPr>
          <w:sz w:val="18"/>
          <w:szCs w:val="18"/>
        </w:rPr>
      </w:pPr>
      <w:r>
        <w:rPr>
          <w:rFonts w:hint="eastAsia"/>
        </w:rPr>
        <w:t>公司</w:t>
      </w:r>
      <w:r>
        <w:rPr>
          <w:rFonts w:ascii="Times New Roman" w:hAnsi="Times New Roman" w:cs="Times New Roman"/>
        </w:rPr>
        <w:t>2022</w:t>
      </w:r>
      <w:r>
        <w:rPr>
          <w:rFonts w:cs="Times New Roman" w:hint="eastAsia"/>
        </w:rPr>
        <w:t>年度营业收入为</w:t>
      </w:r>
      <w:r>
        <w:rPr>
          <w:rFonts w:ascii="Times New Roman" w:hAnsi="Times New Roman" w:cs="Times New Roman"/>
        </w:rPr>
        <w:t>1,673,553,239.98</w:t>
      </w:r>
      <w:r>
        <w:rPr>
          <w:rFonts w:cs="Times New Roman" w:hint="eastAsia"/>
        </w:rPr>
        <w:t>元，为合并利润表重要组成项目，因此我们将收入确认确定为关键审计事项。</w:t>
      </w:r>
    </w:p>
    <w:p w:rsidR="00E22F4C" w:rsidRDefault="00E22F4C">
      <w:pPr>
        <w:pStyle w:val="17"/>
        <w:spacing w:before="120" w:beforeAutospacing="0" w:after="50" w:afterAutospacing="0" w:line="440" w:lineRule="atLeast"/>
        <w:ind w:firstLine="480"/>
        <w:jc w:val="both"/>
        <w:divId w:val="306663501"/>
        <w:rPr>
          <w:sz w:val="18"/>
          <w:szCs w:val="18"/>
        </w:rPr>
      </w:pPr>
      <w:r>
        <w:rPr>
          <w:rFonts w:hint="eastAsia"/>
        </w:rPr>
        <w:t>关于收入确认的会计政策参见财务报表附注“三、公司重要会计政策和会计估计之</w:t>
      </w:r>
      <w:r>
        <w:rPr>
          <w:rFonts w:ascii="Times New Roman" w:hAnsi="Times New Roman" w:cs="Times New Roman"/>
        </w:rPr>
        <w:t>28</w:t>
      </w:r>
      <w:r>
        <w:rPr>
          <w:rFonts w:hint="eastAsia"/>
        </w:rPr>
        <w:t>、收入”；关于收入的披露见财务报表附注“五、合并财务报表项目注释之39、营业收入及营业成本”及“十五、母公司财务报表主要项目附注之</w:t>
      </w:r>
      <w:r>
        <w:rPr>
          <w:rFonts w:ascii="Times New Roman" w:hAnsi="Times New Roman" w:cs="Times New Roman"/>
        </w:rPr>
        <w:t>4</w:t>
      </w:r>
      <w:r>
        <w:rPr>
          <w:rFonts w:hint="eastAsia"/>
        </w:rPr>
        <w:t>、营业收入及营业成本”。</w:t>
      </w:r>
    </w:p>
    <w:p w:rsidR="00E22F4C" w:rsidRDefault="00E22F4C">
      <w:pPr>
        <w:pStyle w:val="200"/>
        <w:spacing w:before="120" w:beforeAutospacing="0" w:after="50" w:afterAutospacing="0" w:line="440" w:lineRule="atLeast"/>
        <w:ind w:firstLine="480"/>
        <w:jc w:val="both"/>
        <w:divId w:val="306663501"/>
        <w:rPr>
          <w:sz w:val="18"/>
          <w:szCs w:val="18"/>
        </w:rPr>
      </w:pPr>
      <w:r>
        <w:rPr>
          <w:rFonts w:ascii="Times New Roman" w:hAnsi="Times New Roman" w:cs="Times New Roman"/>
        </w:rPr>
        <w:t>2.</w:t>
      </w:r>
      <w:r>
        <w:rPr>
          <w:rFonts w:cs="Times New Roman" w:hint="eastAsia"/>
        </w:rPr>
        <w:t>审计应对</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我们执行的主要审计程序如下：</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1</w:t>
      </w:r>
      <w:r>
        <w:rPr>
          <w:rFonts w:cs="Times New Roman" w:hint="eastAsia"/>
        </w:rPr>
        <w:t>）</w:t>
      </w:r>
      <w:r>
        <w:rPr>
          <w:rFonts w:hint="eastAsia"/>
        </w:rPr>
        <w:t>评价和测试翔鹭钨业管理层（以下简称“管理层”）</w:t>
      </w:r>
      <w:r>
        <w:rPr>
          <w:rFonts w:cs="Times New Roman" w:hint="eastAsia"/>
        </w:rPr>
        <w:t>对销售与收款内部控制设计和执行的有效性。</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2</w:t>
      </w:r>
      <w:r>
        <w:rPr>
          <w:rFonts w:cs="Times New Roman" w:hint="eastAsia"/>
        </w:rPr>
        <w:t>）通过检查主要销售合同、了解货物签收及退货的政策、与管理层沟通等程序，评价收入确认会计政策的适当性。</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3</w:t>
      </w:r>
      <w:r>
        <w:rPr>
          <w:rFonts w:cs="Times New Roman" w:hint="eastAsia"/>
        </w:rPr>
        <w:t>）通过抽样的方式检查了与收入确认相关的支持性凭证：销售合同或订单、销售发票、出库单、报关单</w:t>
      </w:r>
      <w:r>
        <w:rPr>
          <w:rFonts w:hint="eastAsia"/>
        </w:rPr>
        <w:t>、</w:t>
      </w:r>
      <w:r>
        <w:rPr>
          <w:rFonts w:cs="Times New Roman" w:hint="eastAsia"/>
        </w:rPr>
        <w:t>货运单、银行回单等。</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4</w:t>
      </w:r>
      <w:r>
        <w:rPr>
          <w:rFonts w:cs="Times New Roman" w:hint="eastAsia"/>
        </w:rPr>
        <w:t>）对主要客户选取样本执行函证程序，以确认本期销售金额及期末应收账款余额</w:t>
      </w:r>
      <w:r>
        <w:rPr>
          <w:rFonts w:hint="eastAsia"/>
        </w:rPr>
        <w:t>；对重要经销商执行走访程序，穿透核查终端销售客户</w:t>
      </w:r>
      <w:r>
        <w:rPr>
          <w:rFonts w:cs="Times New Roman" w:hint="eastAsia"/>
        </w:rPr>
        <w:t>。</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5</w:t>
      </w:r>
      <w:r>
        <w:rPr>
          <w:rFonts w:cs="Times New Roman" w:hint="eastAsia"/>
        </w:rPr>
        <w:t>）针对资产负债表日前后记录的收入交易，选取重大样本核对相关支持性凭证，评估收入确认是否记录在恰当的会计期间。</w:t>
      </w:r>
    </w:p>
    <w:p w:rsidR="00E22F4C" w:rsidRDefault="00E22F4C">
      <w:pPr>
        <w:pStyle w:val="200"/>
        <w:spacing w:before="120" w:beforeAutospacing="0" w:after="50" w:afterAutospacing="0" w:line="440" w:lineRule="atLeast"/>
        <w:ind w:firstLine="480"/>
        <w:jc w:val="both"/>
        <w:divId w:val="306663501"/>
        <w:rPr>
          <w:sz w:val="18"/>
          <w:szCs w:val="18"/>
        </w:rPr>
      </w:pPr>
      <w:r>
        <w:rPr>
          <w:rFonts w:hint="eastAsia"/>
        </w:rPr>
        <w:t>（</w:t>
      </w:r>
      <w:r>
        <w:rPr>
          <w:rFonts w:ascii="Times New Roman" w:hAnsi="Times New Roman" w:cs="Times New Roman"/>
        </w:rPr>
        <w:t>6</w:t>
      </w:r>
      <w:r>
        <w:rPr>
          <w:rFonts w:hint="eastAsia"/>
        </w:rPr>
        <w:t>）获取电子口岸信息，将该数据与翔鹭钨业外销台账进行比较。</w:t>
      </w:r>
    </w:p>
    <w:p w:rsidR="00E22F4C" w:rsidRDefault="00E22F4C">
      <w:pPr>
        <w:pStyle w:val="21"/>
        <w:spacing w:before="180" w:beforeAutospacing="0" w:line="400" w:lineRule="atLeast"/>
        <w:ind w:firstLine="480"/>
        <w:divId w:val="306663501"/>
        <w:rPr>
          <w:sz w:val="18"/>
          <w:szCs w:val="18"/>
        </w:rPr>
      </w:pPr>
      <w:r>
        <w:rPr>
          <w:rFonts w:hint="eastAsia"/>
        </w:rPr>
        <w:t>（二）存货</w:t>
      </w:r>
    </w:p>
    <w:p w:rsidR="00E22F4C" w:rsidRDefault="00E22F4C">
      <w:pPr>
        <w:pStyle w:val="200"/>
        <w:spacing w:before="180" w:beforeAutospacing="0" w:after="50" w:afterAutospacing="0"/>
        <w:ind w:firstLine="480"/>
        <w:jc w:val="both"/>
        <w:divId w:val="306663501"/>
        <w:rPr>
          <w:sz w:val="18"/>
          <w:szCs w:val="18"/>
        </w:rPr>
      </w:pPr>
      <w:r>
        <w:rPr>
          <w:rFonts w:ascii="Times New Roman" w:hAnsi="Times New Roman" w:cs="Times New Roman"/>
        </w:rPr>
        <w:t>1.</w:t>
      </w:r>
      <w:r>
        <w:rPr>
          <w:rFonts w:cs="Times New Roman" w:hint="eastAsia"/>
        </w:rPr>
        <w:t>事项描述</w:t>
      </w:r>
    </w:p>
    <w:p w:rsidR="00E22F4C" w:rsidRDefault="00E22F4C">
      <w:pPr>
        <w:pStyle w:val="17"/>
        <w:spacing w:before="180" w:beforeAutospacing="0" w:after="120" w:afterAutospacing="0"/>
        <w:ind w:firstLine="480"/>
        <w:jc w:val="both"/>
        <w:divId w:val="306663501"/>
        <w:rPr>
          <w:sz w:val="18"/>
          <w:szCs w:val="18"/>
        </w:rPr>
      </w:pPr>
      <w:r>
        <w:rPr>
          <w:rFonts w:cs="Times New Roman" w:hint="eastAsia"/>
        </w:rPr>
        <w:t>如财务报表附注三</w:t>
      </w:r>
      <w:r>
        <w:rPr>
          <w:rFonts w:hint="eastAsia"/>
        </w:rPr>
        <w:t>之</w:t>
      </w:r>
      <w:r>
        <w:rPr>
          <w:rFonts w:ascii="Times New Roman" w:hAnsi="Times New Roman" w:cs="Times New Roman"/>
        </w:rPr>
        <w:t>11</w:t>
      </w:r>
      <w:r>
        <w:rPr>
          <w:rFonts w:cs="Times New Roman" w:hint="eastAsia"/>
        </w:rPr>
        <w:t>及附注五</w:t>
      </w:r>
      <w:r>
        <w:rPr>
          <w:rFonts w:hint="eastAsia"/>
        </w:rPr>
        <w:t>之</w:t>
      </w:r>
      <w:r>
        <w:rPr>
          <w:rFonts w:ascii="Times New Roman" w:hAnsi="Times New Roman" w:cs="Times New Roman"/>
        </w:rPr>
        <w:t>7</w:t>
      </w:r>
      <w:r>
        <w:rPr>
          <w:rFonts w:cs="Times New Roman" w:hint="eastAsia"/>
        </w:rPr>
        <w:t>所述，截至</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日，翔鹭钨业</w:t>
      </w:r>
      <w:r>
        <w:rPr>
          <w:rFonts w:hint="eastAsia"/>
        </w:rPr>
        <w:t>存货</w:t>
      </w:r>
      <w:r>
        <w:rPr>
          <w:rFonts w:cs="Times New Roman" w:hint="eastAsia"/>
        </w:rPr>
        <w:t>账面</w:t>
      </w:r>
      <w:r>
        <w:rPr>
          <w:rFonts w:hint="eastAsia"/>
        </w:rPr>
        <w:t>价值</w:t>
      </w:r>
      <w:r>
        <w:rPr>
          <w:rFonts w:ascii="Times New Roman" w:hAnsi="Times New Roman" w:cs="Times New Roman"/>
        </w:rPr>
        <w:t>737,210,105.49</w:t>
      </w:r>
      <w:r>
        <w:rPr>
          <w:rFonts w:hint="eastAsia"/>
        </w:rPr>
        <w:t>元，占合并资产</w:t>
      </w:r>
      <w:r>
        <w:rPr>
          <w:rFonts w:ascii="Times New Roman" w:hAnsi="Times New Roman" w:cs="Times New Roman"/>
        </w:rPr>
        <w:t>33.11%</w:t>
      </w:r>
      <w:r>
        <w:rPr>
          <w:rFonts w:hint="eastAsia"/>
        </w:rPr>
        <w:t>，期末存货是否存在、成本计算及存货计</w:t>
      </w:r>
      <w:r>
        <w:rPr>
          <w:rFonts w:hint="eastAsia"/>
        </w:rPr>
        <w:lastRenderedPageBreak/>
        <w:t>价是否合理、期末存货是否存在跌价等情形对财务报表影响重大，因此我们将其识别为关键审计事项</w:t>
      </w:r>
      <w:r>
        <w:rPr>
          <w:rFonts w:cs="Times New Roman" w:hint="eastAsia"/>
        </w:rPr>
        <w:t>。</w:t>
      </w:r>
    </w:p>
    <w:p w:rsidR="00E22F4C" w:rsidRDefault="00E22F4C">
      <w:pPr>
        <w:pStyle w:val="200"/>
        <w:spacing w:before="120" w:beforeAutospacing="0" w:after="50" w:afterAutospacing="0"/>
        <w:ind w:firstLine="480"/>
        <w:jc w:val="both"/>
        <w:divId w:val="306663501"/>
        <w:rPr>
          <w:sz w:val="18"/>
          <w:szCs w:val="18"/>
        </w:rPr>
      </w:pPr>
      <w:r>
        <w:rPr>
          <w:rFonts w:ascii="Times New Roman" w:hAnsi="Times New Roman" w:cs="Times New Roman"/>
        </w:rPr>
        <w:t>2.</w:t>
      </w:r>
      <w:r>
        <w:rPr>
          <w:rFonts w:cs="Times New Roman" w:hint="eastAsia"/>
        </w:rPr>
        <w:t>审计应对</w:t>
      </w:r>
    </w:p>
    <w:p w:rsidR="00E22F4C" w:rsidRDefault="00E22F4C">
      <w:pPr>
        <w:pStyle w:val="200"/>
        <w:spacing w:before="120" w:beforeAutospacing="0" w:after="50" w:afterAutospacing="0"/>
        <w:ind w:firstLine="480"/>
        <w:jc w:val="both"/>
        <w:divId w:val="306663501"/>
        <w:rPr>
          <w:sz w:val="18"/>
          <w:szCs w:val="18"/>
        </w:rPr>
      </w:pPr>
      <w:r>
        <w:rPr>
          <w:rFonts w:cs="Times New Roman" w:hint="eastAsia"/>
        </w:rPr>
        <w:t>我们执行的主要审计程序如下：</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1</w:t>
      </w:r>
      <w:r>
        <w:rPr>
          <w:rFonts w:hint="eastAsia"/>
        </w:rPr>
        <w:t>）了解和评估管理层与存货相关内部控制设计的合理性，测试执行的有效性。</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2</w:t>
      </w:r>
      <w:r>
        <w:rPr>
          <w:rFonts w:hint="eastAsia"/>
        </w:rPr>
        <w:t>）对原材料采购的价格和数量等进行细节测试。检查存货采购合同、购货发票、付款单、入库单等支持性证据，检查存货采购的真实性和计价准确性；结合应付账款的函证对公司存货采购进行核实，对主要供应商进行函证核查交易真实性。</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3</w:t>
      </w:r>
      <w:r>
        <w:rPr>
          <w:rFonts w:hint="eastAsia"/>
        </w:rPr>
        <w:t>）对本期的存货领用和销售进行发出计价测试，复核存货领用和销售成本结转的准确性。</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4</w:t>
      </w:r>
      <w:r>
        <w:rPr>
          <w:rFonts w:hint="eastAsia"/>
        </w:rPr>
        <w:t>）分析并复核计提存货跌价准备的测试方法合理性、计提金额的充分性，复核存货跌价准备计提政策合理性，并重新测算存货跌价准备。</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5</w:t>
      </w:r>
      <w:r>
        <w:rPr>
          <w:rFonts w:hint="eastAsia"/>
        </w:rPr>
        <w:t>）核查存货盘点制度，检查存货盘点计划、盘点表，复核期末存货盘点情况，执行存货监盘程序。</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6</w:t>
      </w:r>
      <w:r>
        <w:rPr>
          <w:rFonts w:hint="eastAsia"/>
        </w:rPr>
        <w:t>）执行截止测试，评估存货是否记录在恰当的会计期间。</w:t>
      </w:r>
    </w:p>
    <w:p w:rsidR="00E22F4C" w:rsidRDefault="00E22F4C">
      <w:pPr>
        <w:pStyle w:val="21"/>
        <w:spacing w:before="180" w:beforeAutospacing="0" w:line="400" w:lineRule="atLeast"/>
        <w:ind w:firstLine="480"/>
        <w:divId w:val="306663501"/>
        <w:rPr>
          <w:sz w:val="18"/>
          <w:szCs w:val="18"/>
        </w:rPr>
      </w:pPr>
      <w:r>
        <w:rPr>
          <w:rFonts w:hint="eastAsia"/>
        </w:rPr>
        <w:t>（三）商誉减值</w:t>
      </w:r>
    </w:p>
    <w:p w:rsidR="00E22F4C" w:rsidRDefault="00E22F4C">
      <w:pPr>
        <w:pStyle w:val="200"/>
        <w:spacing w:before="180" w:beforeAutospacing="0" w:after="50" w:afterAutospacing="0"/>
        <w:ind w:firstLine="480"/>
        <w:jc w:val="both"/>
        <w:divId w:val="306663501"/>
        <w:rPr>
          <w:sz w:val="18"/>
          <w:szCs w:val="18"/>
        </w:rPr>
      </w:pPr>
      <w:r>
        <w:rPr>
          <w:rFonts w:ascii="Times New Roman" w:hAnsi="Times New Roman" w:cs="Times New Roman"/>
        </w:rPr>
        <w:t>1.</w:t>
      </w:r>
      <w:r>
        <w:rPr>
          <w:rFonts w:cs="Times New Roman" w:hint="eastAsia"/>
        </w:rPr>
        <w:t>事项描述</w:t>
      </w:r>
    </w:p>
    <w:p w:rsidR="00E22F4C" w:rsidRDefault="00E22F4C">
      <w:pPr>
        <w:pStyle w:val="17"/>
        <w:spacing w:before="180" w:beforeAutospacing="0" w:after="50" w:afterAutospacing="0"/>
        <w:ind w:firstLine="480"/>
        <w:divId w:val="306663501"/>
        <w:rPr>
          <w:sz w:val="18"/>
          <w:szCs w:val="18"/>
        </w:rPr>
      </w:pPr>
      <w:r>
        <w:rPr>
          <w:rFonts w:hint="eastAsia"/>
        </w:rPr>
        <w:t>关于商誉减值的会计政策参见财务报表附注“三、公司重要会计政策和会计估计之</w:t>
      </w:r>
      <w:r>
        <w:rPr>
          <w:rFonts w:ascii="Times New Roman" w:hAnsi="Times New Roman" w:cs="Times New Roman"/>
        </w:rPr>
        <w:t>21</w:t>
      </w:r>
      <w:r>
        <w:rPr>
          <w:rFonts w:hint="eastAsia"/>
        </w:rPr>
        <w:t>、资产减值”；关于商誉减值的披露见财务报表附注“五、合并财务报表项目注释之</w:t>
      </w:r>
      <w:r>
        <w:rPr>
          <w:rFonts w:ascii="Times New Roman" w:hAnsi="Times New Roman" w:cs="Times New Roman"/>
        </w:rPr>
        <w:t>14</w:t>
      </w:r>
      <w:r>
        <w:rPr>
          <w:rFonts w:hint="eastAsia"/>
        </w:rPr>
        <w:t>、商誉”。</w:t>
      </w:r>
    </w:p>
    <w:p w:rsidR="00E22F4C" w:rsidRDefault="00E22F4C">
      <w:pPr>
        <w:pStyle w:val="17"/>
        <w:spacing w:before="180" w:beforeAutospacing="0" w:after="50" w:afterAutospacing="0"/>
        <w:ind w:firstLine="480"/>
        <w:jc w:val="both"/>
        <w:divId w:val="306663501"/>
        <w:rPr>
          <w:sz w:val="18"/>
          <w:szCs w:val="18"/>
        </w:rPr>
      </w:pPr>
      <w:r>
        <w:rPr>
          <w:rFonts w:hint="eastAsia"/>
        </w:rPr>
        <w:t>如财务附注三、公司重要会计政策和会计估计之</w:t>
      </w:r>
      <w:r>
        <w:rPr>
          <w:rFonts w:ascii="Times New Roman" w:hAnsi="Times New Roman" w:cs="Times New Roman"/>
        </w:rPr>
        <w:t>21</w:t>
      </w:r>
      <w:r>
        <w:rPr>
          <w:rFonts w:hint="eastAsia"/>
        </w:rPr>
        <w:t>、资产减值报表及附注五之</w:t>
      </w:r>
      <w:r>
        <w:rPr>
          <w:rFonts w:ascii="Times New Roman" w:hAnsi="Times New Roman" w:cs="Times New Roman"/>
        </w:rPr>
        <w:t>14</w:t>
      </w:r>
      <w:r>
        <w:rPr>
          <w:rFonts w:hint="eastAsia"/>
        </w:rPr>
        <w:t>所述，截至</w:t>
      </w:r>
      <w:r>
        <w:rPr>
          <w:rFonts w:ascii="Times New Roman" w:hAnsi="Times New Roman" w:cs="Times New Roman"/>
        </w:rPr>
        <w:t>2022</w:t>
      </w:r>
      <w:r>
        <w:rPr>
          <w:rFonts w:hint="eastAsia"/>
        </w:rPr>
        <w:t>年</w:t>
      </w:r>
      <w:r>
        <w:rPr>
          <w:rFonts w:ascii="Times New Roman" w:hAnsi="Times New Roman" w:cs="Times New Roman"/>
        </w:rPr>
        <w:t>12</w:t>
      </w:r>
      <w:r>
        <w:rPr>
          <w:rFonts w:hint="eastAsia"/>
        </w:rPr>
        <w:t>月</w:t>
      </w:r>
      <w:r>
        <w:rPr>
          <w:rFonts w:ascii="Times New Roman" w:hAnsi="Times New Roman" w:cs="Times New Roman"/>
        </w:rPr>
        <w:t>31</w:t>
      </w:r>
      <w:r>
        <w:rPr>
          <w:rFonts w:hint="eastAsia"/>
        </w:rPr>
        <w:t>日，商誉账面价值为</w:t>
      </w:r>
      <w:r>
        <w:rPr>
          <w:rFonts w:ascii="Times New Roman" w:hAnsi="Times New Roman" w:cs="Times New Roman"/>
        </w:rPr>
        <w:t>28,812,837.76</w:t>
      </w:r>
      <w:r>
        <w:rPr>
          <w:rFonts w:ascii="Times New Roman" w:hAnsi="Times New Roman" w:cs="Times New Roman"/>
        </w:rPr>
        <w:t>元</w:t>
      </w:r>
      <w:r>
        <w:rPr>
          <w:rFonts w:hint="eastAsia"/>
        </w:rPr>
        <w:t>，翔鹭钨业在每年年度终了对合并形成的商誉进行减值测试。减值测试要求估计包含商誉的相关资产组的可收回金额，即相关资产组的公允价值减去处置费用后的净额与相关资产组预计未来现金流量的现值两者之中的较高者。在确定相关资产组预计未来现金流量的现值时，翔鹭钨业需要恰当的预测相关资产组未来现金流的长期平均增长率和合理的确定计算相关资产组预计未来现金流量现值所采用的折现率，这涉及管理层运用重大会计估计和判断，同时考虑商誉对于财务报表整体的重要性，因此我们将商誉减值准确性作为关键审计事项。</w:t>
      </w:r>
    </w:p>
    <w:p w:rsidR="00E22F4C" w:rsidRDefault="00E22F4C">
      <w:pPr>
        <w:pStyle w:val="200"/>
        <w:spacing w:before="120" w:beforeAutospacing="0" w:after="50" w:afterAutospacing="0"/>
        <w:ind w:firstLine="480"/>
        <w:jc w:val="both"/>
        <w:divId w:val="306663501"/>
        <w:rPr>
          <w:sz w:val="18"/>
          <w:szCs w:val="18"/>
        </w:rPr>
      </w:pPr>
      <w:r>
        <w:rPr>
          <w:rFonts w:ascii="Times New Roman" w:hAnsi="Times New Roman" w:cs="Times New Roman"/>
        </w:rPr>
        <w:t>2.</w:t>
      </w:r>
      <w:r>
        <w:rPr>
          <w:rFonts w:cs="Times New Roman" w:hint="eastAsia"/>
        </w:rPr>
        <w:t>审计应对</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1</w:t>
      </w:r>
      <w:r>
        <w:rPr>
          <w:rFonts w:hint="eastAsia"/>
        </w:rPr>
        <w:t>）评估及测试与商誉减值测试相关的内部控制的设计及执行。</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2</w:t>
      </w:r>
      <w:r>
        <w:rPr>
          <w:rFonts w:hint="eastAsia"/>
        </w:rPr>
        <w:t>）评价管理层委聘的外部估值专家的胜任能力、专业素质和客观性。</w:t>
      </w:r>
    </w:p>
    <w:p w:rsidR="00E22F4C" w:rsidRDefault="00E22F4C">
      <w:pPr>
        <w:pStyle w:val="17"/>
        <w:spacing w:before="120" w:beforeAutospacing="0" w:after="50" w:afterAutospacing="0"/>
        <w:ind w:firstLine="480"/>
        <w:divId w:val="306663501"/>
        <w:rPr>
          <w:sz w:val="18"/>
          <w:szCs w:val="18"/>
        </w:rPr>
      </w:pPr>
      <w:r>
        <w:rPr>
          <w:rFonts w:hint="eastAsia"/>
        </w:rPr>
        <w:t>（</w:t>
      </w:r>
      <w:r>
        <w:rPr>
          <w:rFonts w:ascii="Times New Roman" w:hAnsi="Times New Roman" w:cs="Times New Roman"/>
        </w:rPr>
        <w:t>3</w:t>
      </w:r>
      <w:r>
        <w:rPr>
          <w:rFonts w:hint="eastAsia"/>
        </w:rPr>
        <w:t>）利用管理层委聘的独立评估机构广东中广信资产评估有限公司的工作，评价估值专家的工作结果或结论的相关性和合理性，工作结果或结论与其他审计证据的一致性，估值专家的工作涉及使用重要的假设和方法，这些假设和方法在具体情况下的相关性和合理性，分析利用专家工作进行减值测试的合理性。</w:t>
      </w:r>
    </w:p>
    <w:p w:rsidR="00E22F4C" w:rsidRDefault="00E22F4C">
      <w:pPr>
        <w:pStyle w:val="200"/>
        <w:spacing w:before="120" w:beforeAutospacing="0" w:after="50" w:afterAutospacing="0"/>
        <w:ind w:firstLine="480"/>
        <w:divId w:val="306663501"/>
        <w:rPr>
          <w:sz w:val="18"/>
          <w:szCs w:val="18"/>
        </w:rPr>
      </w:pPr>
      <w:r>
        <w:rPr>
          <w:rFonts w:hint="eastAsia"/>
        </w:rPr>
        <w:lastRenderedPageBreak/>
        <w:t>（</w:t>
      </w:r>
      <w:r>
        <w:rPr>
          <w:rFonts w:ascii="Times New Roman" w:hAnsi="Times New Roman" w:cs="Times New Roman"/>
        </w:rPr>
        <w:t>4</w:t>
      </w:r>
      <w:r>
        <w:rPr>
          <w:rFonts w:hint="eastAsia"/>
        </w:rPr>
        <w:t>）邀请估值专家与审计团队共同对商誉减值测试评估方法、计算过程、关键参数合理性、折现率等进行复核。</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5</w:t>
      </w:r>
      <w:r>
        <w:rPr>
          <w:rFonts w:hint="eastAsia"/>
        </w:rPr>
        <w:t>）重新计算商誉减值测试相关资产组的可收回金额并与包括商誉在内的可辨认资产组的账面价值进行比较，核实商誉减值准备计提金额的准确性。</w:t>
      </w:r>
    </w:p>
    <w:p w:rsidR="00E22F4C" w:rsidRDefault="00E22F4C">
      <w:pPr>
        <w:pStyle w:val="200"/>
        <w:spacing w:before="120" w:beforeAutospacing="0" w:after="50" w:afterAutospacing="0"/>
        <w:ind w:firstLine="480"/>
        <w:divId w:val="306663501"/>
        <w:rPr>
          <w:sz w:val="18"/>
          <w:szCs w:val="18"/>
        </w:rPr>
      </w:pPr>
      <w:r>
        <w:rPr>
          <w:rFonts w:hint="eastAsia"/>
        </w:rPr>
        <w:t>（</w:t>
      </w:r>
      <w:r>
        <w:rPr>
          <w:rFonts w:ascii="Times New Roman" w:hAnsi="Times New Roman" w:cs="Times New Roman"/>
        </w:rPr>
        <w:t>6</w:t>
      </w:r>
      <w:r>
        <w:rPr>
          <w:rFonts w:hint="eastAsia"/>
        </w:rPr>
        <w:t>）与管理层和治理层就计提商誉减值准备的依据和关键假设进行了充分讨论。</w:t>
      </w:r>
    </w:p>
    <w:p w:rsidR="00E22F4C" w:rsidRDefault="00E22F4C">
      <w:pPr>
        <w:pStyle w:val="a4"/>
        <w:spacing w:before="240" w:beforeAutospacing="0" w:after="120" w:afterAutospacing="0" w:line="440" w:lineRule="atLeast"/>
        <w:jc w:val="both"/>
        <w:divId w:val="306663501"/>
        <w:rPr>
          <w:sz w:val="21"/>
          <w:szCs w:val="21"/>
        </w:rPr>
      </w:pPr>
      <w:r>
        <w:rPr>
          <w:rStyle w:val="a5"/>
          <w:rFonts w:hint="eastAsia"/>
        </w:rPr>
        <w:t>四、其他信息</w:t>
      </w:r>
    </w:p>
    <w:p w:rsidR="00E22F4C" w:rsidRDefault="00E22F4C">
      <w:pPr>
        <w:pStyle w:val="200"/>
        <w:spacing w:before="120" w:beforeAutospacing="0" w:after="50" w:afterAutospacing="0" w:line="440" w:lineRule="atLeast"/>
        <w:ind w:firstLine="480"/>
        <w:jc w:val="both"/>
        <w:divId w:val="306663501"/>
        <w:rPr>
          <w:sz w:val="18"/>
          <w:szCs w:val="18"/>
        </w:rPr>
      </w:pPr>
      <w:r>
        <w:rPr>
          <w:rFonts w:hint="eastAsia"/>
        </w:rPr>
        <w:t>翔鹭钨业</w:t>
      </w:r>
      <w:r>
        <w:rPr>
          <w:rFonts w:cs="Times New Roman" w:hint="eastAsia"/>
        </w:rPr>
        <w:t>管理层</w:t>
      </w:r>
      <w:r>
        <w:rPr>
          <w:rFonts w:hint="eastAsia"/>
        </w:rPr>
        <w:t>（以下简称管理层）</w:t>
      </w:r>
      <w:r>
        <w:rPr>
          <w:rFonts w:cs="Times New Roman" w:hint="eastAsia"/>
        </w:rPr>
        <w:t>对其他信息负责。其他信息包括翔鹭钨业</w:t>
      </w:r>
      <w:r>
        <w:rPr>
          <w:rFonts w:ascii="Times New Roman" w:hAnsi="Times New Roman" w:cs="Times New Roman"/>
        </w:rPr>
        <w:t>2022</w:t>
      </w:r>
      <w:r>
        <w:rPr>
          <w:rFonts w:cs="Times New Roman" w:hint="eastAsia"/>
        </w:rPr>
        <w:t>年度报告中涵盖的信息，但不包括财务报表和我们的审计报告。</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我们对财务报表发表的审计意见不涵盖其他信息，我们也不对其他信息发表任何形式的鉴证结论。</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结合我们对财务报表的审计，我们的责任是阅读其他信息，在此过程中，考虑其他信息是否与财务报表或我们在审计过程中了解到的情况存在重大不一致或者似乎存在重大错报。</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基于我们已执行的工作，如果我们确定其他信息存在重大错报，我们应当报告该事实。在这方面，我们无任何事项需要报告。</w:t>
      </w:r>
    </w:p>
    <w:p w:rsidR="00E22F4C" w:rsidRDefault="00E22F4C">
      <w:pPr>
        <w:pStyle w:val="a4"/>
        <w:spacing w:before="240" w:beforeAutospacing="0" w:after="120" w:afterAutospacing="0" w:line="440" w:lineRule="atLeast"/>
        <w:jc w:val="both"/>
        <w:divId w:val="306663501"/>
        <w:rPr>
          <w:sz w:val="21"/>
          <w:szCs w:val="21"/>
        </w:rPr>
      </w:pPr>
      <w:r>
        <w:rPr>
          <w:rStyle w:val="a5"/>
          <w:rFonts w:hint="eastAsia"/>
        </w:rPr>
        <w:t>五、管理层和治理层对财务报表的责任</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管理层负责按照企业会计准则的规定编制财务报表，使其实现公允反映，并设计、执行和维护必要的内部控制，以使财务报表不存在由于舞弊或错误导致的重大错报。</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在编制财务报表时，管理层负责评估翔鹭钨业的持续经营能力，披露与持续经营相关的事项（如适用），并运用持续经营假设，除非管理层计划清算翔鹭钨业、终止运营或别无其他现实的选择。</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治理层负责监督翔鹭钨业的财务报告过程。</w:t>
      </w:r>
    </w:p>
    <w:p w:rsidR="00E22F4C" w:rsidRDefault="00E22F4C">
      <w:pPr>
        <w:pStyle w:val="a4"/>
        <w:spacing w:before="120" w:beforeAutospacing="0" w:after="120" w:afterAutospacing="0" w:line="440" w:lineRule="atLeast"/>
        <w:jc w:val="both"/>
        <w:divId w:val="306663501"/>
        <w:rPr>
          <w:sz w:val="21"/>
          <w:szCs w:val="21"/>
        </w:rPr>
      </w:pPr>
      <w:r>
        <w:rPr>
          <w:rStyle w:val="a5"/>
          <w:rFonts w:hint="eastAsia"/>
        </w:rPr>
        <w:t>六、注册会计师对财务报表审计的责任</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lastRenderedPageBreak/>
        <w:t>在按照审计准则执行审计工作的过程中，我们运用职业判断，并保持职业怀疑。同时，我们也执行以下工作：</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1</w:t>
      </w:r>
      <w:r>
        <w:rPr>
          <w:rFonts w:cs="Times New Roman" w:hint="eastAsia"/>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E22F4C" w:rsidRDefault="00E22F4C">
      <w:pPr>
        <w:pStyle w:val="a4"/>
        <w:spacing w:before="0" w:beforeAutospacing="0" w:after="0" w:afterAutospacing="0"/>
        <w:jc w:val="both"/>
        <w:divId w:val="306663501"/>
        <w:rPr>
          <w:rFonts w:ascii="Times New Roman" w:hAnsi="Times New Roman" w:cs="Times New Roman"/>
          <w:sz w:val="21"/>
          <w:szCs w:val="21"/>
        </w:rPr>
      </w:pPr>
      <w:r>
        <w:rPr>
          <w:rFonts w:cs="Times New Roman" w:hint="eastAsia"/>
          <w:sz w:val="21"/>
          <w:szCs w:val="21"/>
        </w:rPr>
        <w:t>   （</w:t>
      </w:r>
      <w:r>
        <w:rPr>
          <w:rFonts w:ascii="Times New Roman" w:hAnsi="Times New Roman" w:cs="Times New Roman"/>
          <w:sz w:val="21"/>
          <w:szCs w:val="21"/>
        </w:rPr>
        <w:t>2</w:t>
      </w:r>
      <w:r>
        <w:rPr>
          <w:rFonts w:cs="Times New Roman" w:hint="eastAsia"/>
          <w:sz w:val="21"/>
          <w:szCs w:val="21"/>
        </w:rPr>
        <w:t>）了解与审计相关的内部控制，以设计恰当的审计程序。</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3</w:t>
      </w:r>
      <w:r>
        <w:rPr>
          <w:rFonts w:cs="Times New Roman" w:hint="eastAsia"/>
        </w:rPr>
        <w:t>）评价管理层选用会计政策的恰当性和作出会计估计及相关披露的合理性。</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4</w:t>
      </w:r>
      <w:r>
        <w:rPr>
          <w:rFonts w:cs="Times New Roman" w:hint="eastAsia"/>
        </w:rPr>
        <w:t>）对管理层使用持续经营假设的恰当性得出结论。同时，根据获取的审计证据，就可能导致对翔鹭钨业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翔鹭钨业不能持续经营。</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5</w:t>
      </w:r>
      <w:r>
        <w:rPr>
          <w:rFonts w:cs="Times New Roman" w:hint="eastAsia"/>
        </w:rPr>
        <w:t>）评价财务报表的总体列报、结构和内容，并评价财务报表是否公允反映相关交易和事项。</w:t>
      </w:r>
    </w:p>
    <w:p w:rsidR="00E22F4C" w:rsidRDefault="00E22F4C">
      <w:pPr>
        <w:pStyle w:val="200"/>
        <w:spacing w:before="120" w:beforeAutospacing="0" w:after="50" w:afterAutospacing="0" w:line="440" w:lineRule="atLeast"/>
        <w:ind w:firstLine="480"/>
        <w:jc w:val="both"/>
        <w:divId w:val="306663501"/>
        <w:rPr>
          <w:sz w:val="18"/>
          <w:szCs w:val="18"/>
        </w:rPr>
      </w:pPr>
      <w:r>
        <w:rPr>
          <w:rFonts w:cs="Times New Roman" w:hint="eastAsia"/>
        </w:rPr>
        <w:t>（</w:t>
      </w:r>
      <w:r>
        <w:rPr>
          <w:rFonts w:ascii="Times New Roman" w:hAnsi="Times New Roman" w:cs="Times New Roman"/>
        </w:rPr>
        <w:t>6</w:t>
      </w:r>
      <w:r>
        <w:rPr>
          <w:rFonts w:cs="Times New Roman" w:hint="eastAsia"/>
        </w:rPr>
        <w:t>）就翔鹭钨业实体或业务活动的财务信息获取充分、适当的审计证据，以对财务报表发表审计意见。我们负责指导、监督和执行集团审计，并对审计意见承担全部责任。</w:t>
      </w:r>
    </w:p>
    <w:p w:rsidR="00E22F4C" w:rsidRDefault="00E22F4C">
      <w:pPr>
        <w:pStyle w:val="200"/>
        <w:spacing w:before="240" w:beforeAutospacing="0" w:after="50" w:afterAutospacing="0" w:line="440" w:lineRule="atLeast"/>
        <w:ind w:firstLine="480"/>
        <w:jc w:val="both"/>
        <w:divId w:val="306663501"/>
        <w:rPr>
          <w:sz w:val="18"/>
          <w:szCs w:val="18"/>
        </w:rPr>
      </w:pPr>
      <w:r>
        <w:rPr>
          <w:rFonts w:cs="Times New Roman" w:hint="eastAsia"/>
        </w:rPr>
        <w:t>我们与治理层就计划的审计范围、时间安排和重大审计发现等事项进行沟通，包括沟通我们在审计中识别出的值得关注的内部控制缺陷。</w:t>
      </w:r>
    </w:p>
    <w:p w:rsidR="00E22F4C" w:rsidRDefault="00E22F4C">
      <w:pPr>
        <w:pStyle w:val="200"/>
        <w:spacing w:before="240" w:beforeAutospacing="0" w:after="50" w:afterAutospacing="0" w:line="440" w:lineRule="atLeast"/>
        <w:ind w:firstLine="480"/>
        <w:jc w:val="both"/>
        <w:divId w:val="306663501"/>
        <w:rPr>
          <w:sz w:val="18"/>
          <w:szCs w:val="18"/>
        </w:rPr>
      </w:pPr>
      <w:r>
        <w:rPr>
          <w:rFonts w:cs="Times New Roman" w:hint="eastAsia"/>
        </w:rPr>
        <w:t>我们还就已遵守与独立性相关的职业道德要求向治理层提供声明，并与治理层沟通可能被合理认为影响我们独立性的所有关系和其他事项，以及相关的防范措施（如适用）。</w:t>
      </w:r>
    </w:p>
    <w:p w:rsidR="00E22F4C" w:rsidRDefault="00E22F4C">
      <w:pPr>
        <w:pStyle w:val="200"/>
        <w:spacing w:before="240" w:beforeAutospacing="0" w:after="50" w:afterAutospacing="0" w:line="440" w:lineRule="atLeast"/>
        <w:ind w:firstLine="480"/>
        <w:jc w:val="both"/>
        <w:divId w:val="306663501"/>
        <w:rPr>
          <w:sz w:val="18"/>
          <w:szCs w:val="18"/>
        </w:rPr>
      </w:pPr>
      <w:r>
        <w:rPr>
          <w:rFonts w:cs="Times New Roman"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E22F4C" w:rsidRDefault="00E22F4C">
      <w:pPr>
        <w:pStyle w:val="200"/>
        <w:spacing w:before="240" w:beforeAutospacing="0" w:after="50" w:afterAutospacing="0" w:line="440" w:lineRule="atLeast"/>
        <w:ind w:firstLine="480"/>
        <w:jc w:val="both"/>
        <w:divId w:val="306663501"/>
        <w:rPr>
          <w:sz w:val="18"/>
          <w:szCs w:val="18"/>
        </w:rPr>
      </w:pPr>
      <w:r>
        <w:rPr>
          <w:rFonts w:ascii="Times New Roman" w:hAnsi="Times New Roman" w:cs="Times New Roman"/>
        </w:rPr>
        <w:t> </w:t>
      </w:r>
    </w:p>
    <w:p w:rsidR="00E22F4C" w:rsidRDefault="00E22F4C">
      <w:pPr>
        <w:pStyle w:val="200"/>
        <w:spacing w:before="240" w:beforeAutospacing="0" w:after="50" w:afterAutospacing="0" w:line="440" w:lineRule="atLeast"/>
        <w:ind w:firstLine="480"/>
        <w:jc w:val="both"/>
        <w:divId w:val="306663501"/>
        <w:rPr>
          <w:sz w:val="18"/>
          <w:szCs w:val="18"/>
        </w:rPr>
      </w:pPr>
      <w:r>
        <w:rPr>
          <w:rFonts w:ascii="Times New Roman" w:hAnsi="Times New Roman" w:cs="Times New Roman"/>
        </w:rPr>
        <w:lastRenderedPageBreak/>
        <w:t> </w:t>
      </w:r>
    </w:p>
    <w:p w:rsidR="00E22F4C" w:rsidRDefault="00E22F4C">
      <w:pPr>
        <w:pStyle w:val="200"/>
        <w:spacing w:before="240" w:beforeAutospacing="0" w:after="50" w:afterAutospacing="0" w:line="440" w:lineRule="atLeast"/>
        <w:ind w:firstLine="480"/>
        <w:jc w:val="both"/>
        <w:divId w:val="306663501"/>
        <w:rPr>
          <w:sz w:val="18"/>
          <w:szCs w:val="18"/>
        </w:rPr>
      </w:pPr>
      <w:r>
        <w:rPr>
          <w:rFonts w:hint="eastAsia"/>
        </w:rPr>
        <w:t> </w:t>
      </w:r>
    </w:p>
    <w:p w:rsidR="00E22F4C" w:rsidRDefault="00E22F4C">
      <w:pPr>
        <w:pStyle w:val="a4"/>
        <w:spacing w:before="168" w:beforeAutospacing="0" w:after="0" w:afterAutospacing="0" w:line="740" w:lineRule="atLeast"/>
        <w:jc w:val="both"/>
        <w:divId w:val="306663501"/>
        <w:rPr>
          <w:rFonts w:ascii="Times New Roman" w:hAnsi="Times New Roman" w:cs="Times New Roman"/>
          <w:sz w:val="21"/>
          <w:szCs w:val="21"/>
        </w:rPr>
      </w:pPr>
      <w:r>
        <w:rPr>
          <w:rStyle w:val="a5"/>
          <w:rFonts w:cs="Times New Roman" w:hint="eastAsia"/>
        </w:rPr>
        <w:t>   广东司农会计师事务所（特殊普通合伙）</w:t>
      </w:r>
      <w:r>
        <w:rPr>
          <w:rStyle w:val="a5"/>
          <w:rFonts w:ascii="Times New Roman" w:hAnsi="Times New Roman" w:cs="Times New Roman"/>
        </w:rPr>
        <w:t xml:space="preserve">                                                          </w:t>
      </w:r>
      <w:r>
        <w:rPr>
          <w:rStyle w:val="a5"/>
          <w:rFonts w:cs="Times New Roman" w:hint="eastAsia"/>
        </w:rPr>
        <w:t>中国注册会计师：周  锋</w:t>
      </w:r>
    </w:p>
    <w:p w:rsidR="00E22F4C" w:rsidRDefault="00E22F4C">
      <w:pPr>
        <w:pStyle w:val="a4"/>
        <w:spacing w:before="120" w:beforeAutospacing="0" w:after="120" w:afterAutospacing="0"/>
        <w:jc w:val="both"/>
        <w:divId w:val="306663501"/>
        <w:rPr>
          <w:rFonts w:ascii="Times New Roman" w:hAnsi="Times New Roman" w:cs="Times New Roman"/>
          <w:sz w:val="21"/>
          <w:szCs w:val="21"/>
        </w:rPr>
      </w:pPr>
      <w:r>
        <w:rPr>
          <w:rStyle w:val="a5"/>
          <w:rFonts w:ascii="Times New Roman" w:hAnsi="Times New Roman" w:cs="Times New Roman"/>
        </w:rPr>
        <w:t>                                                                                                                                                 </w:t>
      </w:r>
      <w:r>
        <w:rPr>
          <w:rStyle w:val="a5"/>
          <w:rFonts w:cs="Times New Roman" w:hint="eastAsia"/>
        </w:rPr>
        <w:t>（项目合伙人）</w:t>
      </w:r>
    </w:p>
    <w:p w:rsidR="00E22F4C" w:rsidRDefault="00E22F4C">
      <w:pPr>
        <w:pStyle w:val="a4"/>
        <w:spacing w:before="432" w:beforeAutospacing="0" w:after="240" w:afterAutospacing="0" w:line="740" w:lineRule="atLeast"/>
        <w:ind w:firstLine="723"/>
        <w:jc w:val="both"/>
        <w:divId w:val="306663501"/>
        <w:rPr>
          <w:rFonts w:ascii="Times New Roman" w:hAnsi="Times New Roman" w:cs="Times New Roman"/>
          <w:sz w:val="21"/>
          <w:szCs w:val="21"/>
        </w:rPr>
      </w:pPr>
      <w:r>
        <w:rPr>
          <w:rStyle w:val="a5"/>
          <w:rFonts w:ascii="Times New Roman" w:hAnsi="Times New Roman" w:cs="Times New Roman"/>
        </w:rPr>
        <w:t xml:space="preserve">                                                                                                                                        </w:t>
      </w:r>
      <w:r>
        <w:rPr>
          <w:rStyle w:val="a5"/>
          <w:rFonts w:cs="Times New Roman" w:hint="eastAsia"/>
        </w:rPr>
        <w:t>中国注册会计师：马钟宏</w:t>
      </w:r>
    </w:p>
    <w:p w:rsidR="00E22F4C" w:rsidRDefault="00E22F4C">
      <w:pPr>
        <w:pStyle w:val="a4"/>
        <w:spacing w:before="0" w:beforeAutospacing="0" w:after="0" w:afterAutospacing="0"/>
        <w:jc w:val="both"/>
        <w:divId w:val="306663501"/>
        <w:rPr>
          <w:rFonts w:ascii="Times New Roman" w:hAnsi="Times New Roman" w:cs="Times New Roman"/>
          <w:sz w:val="21"/>
          <w:szCs w:val="21"/>
        </w:rPr>
      </w:pPr>
      <w:r>
        <w:rPr>
          <w:rStyle w:val="a5"/>
          <w:rFonts w:cs="Times New Roman" w:hint="eastAsia"/>
        </w:rPr>
        <w:t>   中国</w:t>
      </w:r>
      <w:r>
        <w:rPr>
          <w:rStyle w:val="a5"/>
          <w:rFonts w:ascii="Times New Roman" w:hAnsi="Times New Roman" w:cs="Times New Roman"/>
        </w:rPr>
        <w:t xml:space="preserve">     </w:t>
      </w:r>
      <w:r>
        <w:rPr>
          <w:rStyle w:val="a5"/>
          <w:rFonts w:cs="Times New Roman" w:hint="eastAsia"/>
        </w:rPr>
        <w:t>广州</w:t>
      </w:r>
      <w:r>
        <w:rPr>
          <w:rStyle w:val="a5"/>
          <w:rFonts w:ascii="Times New Roman" w:hAnsi="Times New Roman" w:cs="Times New Roman"/>
        </w:rPr>
        <w:t>                                                                                                                     </w:t>
      </w:r>
      <w:r>
        <w:rPr>
          <w:rStyle w:val="a5"/>
          <w:rFonts w:cs="Times New Roman" w:hint="eastAsia"/>
          <w:shd w:val="clear" w:color="auto" w:fill="FFFF00"/>
        </w:rPr>
        <w:t>二○二三年四月二十日</w:t>
      </w:r>
    </w:p>
    <w:p w:rsidR="00E22F4C" w:rsidRDefault="00381575">
      <w:pPr>
        <w:pStyle w:val="2"/>
        <w:spacing w:before="300" w:after="300" w:line="320" w:lineRule="exact"/>
        <w:rPr>
          <w:rFonts w:ascii="宋体" w:eastAsia="宋体" w:hAnsi="宋体" w:cs="宋体"/>
          <w:b/>
          <w:bCs/>
          <w:sz w:val="24"/>
          <w:szCs w:val="24"/>
        </w:rPr>
      </w:pPr>
      <w:bookmarkStart w:id="163" w:name="_Toc989052"/>
      <w:r>
        <w:rPr>
          <w:rFonts w:ascii="宋体" w:eastAsia="宋体" w:hAnsi="宋体" w:cs="宋体"/>
          <w:b/>
          <w:bCs/>
          <w:sz w:val="24"/>
          <w:szCs w:val="24"/>
        </w:rPr>
        <w:t>二、财务报表</w:t>
      </w:r>
      <w:bookmarkEnd w:id="163"/>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财务附注中报表的单位为：元</w:t>
      </w:r>
    </w:p>
    <w:p w:rsidR="00E22F4C" w:rsidRDefault="00381575">
      <w:pPr>
        <w:pStyle w:val="3"/>
        <w:spacing w:line="280" w:lineRule="exact"/>
        <w:jc w:val="left"/>
        <w:rPr>
          <w:rFonts w:ascii="宋体" w:hAnsi="宋体" w:cs="宋体"/>
          <w:b/>
          <w:bCs/>
        </w:rPr>
      </w:pPr>
      <w:bookmarkStart w:id="164" w:name="_Toc989053"/>
      <w:r>
        <w:rPr>
          <w:rFonts w:ascii="宋体" w:hAnsi="宋体" w:cs="宋体"/>
          <w:b/>
          <w:bCs/>
        </w:rPr>
        <w:t>1、合并资产负债表</w:t>
      </w:r>
      <w:bookmarkEnd w:id="164"/>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编制单位：广东翔鹭钨业股份有限公司</w:t>
      </w:r>
    </w:p>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2022年12月31日</w:t>
      </w:r>
    </w:p>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2022年12月31日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2022年1月1日</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150,880,194.11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243,712,701.57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结算备付金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拆出资金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264,153,826.03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193,849,372.89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122,921,358.54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123,947,738.42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1,287,452.92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15,845,716.48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应收保费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应收分保账款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应收分保合同准备金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8,768,812.56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8,006,143.46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买入返售金融资产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737,210,105.49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767,704,893.98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3,613,288.36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76,965,042.79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1,288,835,038.01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1,430,535,873.59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发放贷款和垫款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728,960,597.70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721,433,903.07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16,330,011.10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55,410,143.45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527,421.43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686,502.13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113,241,927.00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115,999,999.51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28,812,837.76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46,901,079.20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14,142,123.29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18,183,803.03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8,740,794.16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10,000,579.19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13,067,982.85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12,371,197.82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937,587,186.14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994,750,698.25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2,226,422,224.15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2,425,286,571.84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399,048,731.97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386,292,836.39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向中央银行借款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拆入资金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277,710,512.98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378,917,235.98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42,132,679.82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67,544,322.25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1,016,062.09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6,302,744.57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卖出回购金融资产款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吸收存款及同业存放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代理买卖证券款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代理承销证券款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3,130,746.76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3,186,357.55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6,391,890.26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1,932,493.93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15,437,837.53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26,021,174.83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应付手续费及佣金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应付分保账款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102,280,356.67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40,486,502.13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2,055,132.53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2,814,219.72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849,209,410.61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913,497,887.35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保险合同准备金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125,820,000.00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227,400,000.00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281,671,949.19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265,001,933.79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338,209.47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12,224,572.42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6,705,037.22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649,244.68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357,426.11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420,703,975.76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499,464,397.12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1,269,913,386.37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1,412,962,284.47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277,676,048.00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65,667,753.05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230,065,062.51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222,338,577.93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15,050,120.00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27,130,350.85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31,918,879.60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53,913,423.70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一般风险准备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317,106,319.67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387,320,163.25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归属于母公司所有者权益合计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956,508,837.78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956,508,837.78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2,226,422,224.15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2,425,286,571.84</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法定代表人：陈启丰    主管会计工作负责人：郑丽芳      会计机构负责人：陈东洁</w:t>
      </w:r>
    </w:p>
    <w:p w:rsidR="00E22F4C" w:rsidRDefault="00381575">
      <w:pPr>
        <w:pStyle w:val="3"/>
        <w:spacing w:line="280" w:lineRule="exact"/>
        <w:jc w:val="left"/>
        <w:rPr>
          <w:rFonts w:ascii="宋体" w:hAnsi="宋体" w:cs="宋体"/>
          <w:b/>
          <w:bCs/>
        </w:rPr>
      </w:pPr>
      <w:bookmarkStart w:id="165" w:name="_Toc989054"/>
      <w:r>
        <w:rPr>
          <w:rFonts w:ascii="宋体" w:hAnsi="宋体" w:cs="宋体"/>
          <w:b/>
          <w:bCs/>
        </w:rPr>
        <w:lastRenderedPageBreak/>
        <w:t>2、母公司资产负债表</w:t>
      </w:r>
      <w:bookmarkEnd w:id="165"/>
    </w:p>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2022年12月31日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2022年1月1日</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118,823,905.03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197,094,517.89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238,523,479.83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193,257,173.50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119,641,830.80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120,944,357.91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818,118.98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15,009,477.41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82,561,243.77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71,781,082.27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549,422,268.94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555,505,640.30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2,719,017.17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42,470,509.52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1,112,509,864.52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1,196,567,022.80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498,845,022.98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493,500,000.00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334,063,419.22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317,777,598.53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12,819,473.76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34,210,416.56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35,045,682.25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36,337,124.59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9,224,039.31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12,180,416.88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725,549.04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680,297.64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46,598,062.65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45,541,007.62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951,084,740.06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953,990,352.67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2,063,594,604.58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2,150,557,375.47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短期借款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325,955,460.44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326,213,086.39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201,582,000.00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273,053,000.00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133,617,993.65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171,334,402.50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813,222.55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6,137,571.65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883,100.00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862,310.00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825,229.79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1,781,021.31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49,967,291.49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30,219,237.55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29,900,000.00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36,800,000.00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1,671,431.58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2,392,740.38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745,221,189.50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848,793,369.78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13,500,000.00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18,400,000.00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281,671,949.19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265,001,933.79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8,353,416.82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4,611,962.89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75,639.60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303,525,366.01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288,089,536.28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1,048,746,555.51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1,136,882,906.06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277,676,048.00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65,667,753.05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269,110,865.36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261,384,380.78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15,050,120.00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23,054,170.02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25,608,212.60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53,913,423.70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340,475,908.94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355,935,209.44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1,014,848,049.07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1,013,674,469.41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2,063,594,604.58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2,150,557,375.47</w:t>
            </w:r>
          </w:p>
        </w:tc>
      </w:tr>
    </w:tbl>
    <w:p w:rsidR="00E22F4C" w:rsidRDefault="00381575">
      <w:pPr>
        <w:pStyle w:val="3"/>
        <w:spacing w:line="280" w:lineRule="exact"/>
        <w:jc w:val="left"/>
        <w:rPr>
          <w:rFonts w:ascii="宋体" w:hAnsi="宋体" w:cs="宋体"/>
          <w:b/>
          <w:bCs/>
        </w:rPr>
      </w:pPr>
      <w:bookmarkStart w:id="166" w:name="_Toc989055"/>
      <w:r>
        <w:rPr>
          <w:rFonts w:ascii="宋体" w:hAnsi="宋体" w:cs="宋体"/>
          <w:b/>
          <w:bCs/>
        </w:rPr>
        <w:lastRenderedPageBreak/>
        <w:t>3、合并利润表</w:t>
      </w:r>
      <w:bookmarkEnd w:id="16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一、营业总收入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1,524,401,033.47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1,524,401,033.47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已赚保费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手续费及佣金收入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二、营业总成本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1,696,450,095.09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1,506,710,419.12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其中：营业成本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1,507,770,002.12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1,328,612,696.25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手续费及佣金支出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退保金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赔付支出净额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提取保险责任合同准备金净额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保单红利支出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分保费用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5,612,395.04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5,132,752.72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6,835,542.52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5,914,163.38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66,652,461.69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56,023,393.84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66,835,116.01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67,535,701.61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42,744,577.71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43,491,711.32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56,079,097.64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43,833,834.01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800" w:firstLine="1440"/>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2,131,508.96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1,775,125.82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9,545,199.29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5,565,683.42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投资收益（损失以“－”号填列）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257,170.08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其中：对联营企业和合营企业的投资收益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800" w:firstLine="1440"/>
              <w:rPr>
                <w:rFonts w:ascii="宋体" w:eastAsia="宋体" w:hAnsi="宋体" w:cs="宋体"/>
                <w:sz w:val="18"/>
                <w:szCs w:val="18"/>
              </w:rPr>
            </w:pPr>
            <w:r>
              <w:rPr>
                <w:rFonts w:ascii="宋体" w:eastAsia="宋体" w:hAnsi="宋体" w:cs="宋体"/>
                <w:sz w:val="18"/>
                <w:szCs w:val="18"/>
              </w:rPr>
              <w:t>以摊余成本计量的金融资产终止确认收益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汇兑收益（损失以“-”号填列）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净敞口套期收益（损失以“－”号填列）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公允价值变动收益（损失以“－”号填列）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信用减值损失（损失以“-”号填列）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244,844.69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4,232,103.03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-24,905,414.87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-5,926,786.98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资产处置收益（损失以“-”号填列）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-17,784.34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-808,471.38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三、营业利润（亏损以“－”号填</w:t>
            </w:r>
            <w:r>
              <w:rPr>
                <w:rFonts w:ascii="宋体" w:eastAsia="宋体" w:hAnsi="宋体" w:cs="宋体"/>
                <w:sz w:val="18"/>
                <w:szCs w:val="18"/>
              </w:rPr>
              <w:lastRenderedPageBreak/>
              <w:t>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-37,778,300.26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22,144,370.04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496,765.30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138,320.82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2,874,239.81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1,171,041.97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四、利润总额（亏损总额以“－”号填列）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-40,155,774.77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21,111,648.89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1,106,753.81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-3,638,301.15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五、净利润（净亏损以“－”号填列）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（一）按经营持续性分类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1.持续经营净利润（净亏损以“－”号填列）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2.终止经营净利润（净亏损以“－”号填列）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（二）按所有权归属分类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1.归属于母公司股东的净利润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2.少数股东损益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六、其他综合收益的税后净额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归属母公司所有者的其他综合收益的税后净额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1.重新计量设定受益计划变动额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2.权益法下不能转损益的其他综合收益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3.其他权益工具投资公允价值变动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4.企业自身信用风险公允价值变动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5.其他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1.权益法下可转损益的其他综合收益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2.其他债权投资公允价值变动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3.金融资产重分类计入其他综合收益的金额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4.其他债权投资信用减值准备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5.现金流量套期储备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6.外币财务报表折算差额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7.其他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归属于少数股东的其他综合收益的税后净额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七、综合收益总额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归属于母公司所有者的综合收益总额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归属于少数股东的综合收益总额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八、每股收益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0.09</w:t>
            </w:r>
          </w:p>
        </w:tc>
      </w:tr>
    </w:tbl>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本期发生同一控制下企业合并的，被合并方在合并前实现的净利润为：元，上期被合并方实现的净利润为：元。</w:t>
      </w:r>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法定代表人：陈启丰    主管会计工作负责人：郑丽芳    会计机构负责人：陈东洁</w:t>
      </w:r>
    </w:p>
    <w:p w:rsidR="00E22F4C" w:rsidRDefault="00381575">
      <w:pPr>
        <w:pStyle w:val="3"/>
        <w:spacing w:line="280" w:lineRule="exact"/>
        <w:jc w:val="left"/>
        <w:rPr>
          <w:rFonts w:ascii="宋体" w:hAnsi="宋体" w:cs="宋体"/>
          <w:b/>
          <w:bCs/>
        </w:rPr>
      </w:pPr>
      <w:bookmarkStart w:id="167" w:name="_Toc989056"/>
      <w:r>
        <w:rPr>
          <w:rFonts w:ascii="宋体" w:hAnsi="宋体" w:cs="宋体"/>
          <w:b/>
          <w:bCs/>
        </w:rPr>
        <w:lastRenderedPageBreak/>
        <w:t>4、母公司利润表</w:t>
      </w:r>
      <w:bookmarkEnd w:id="16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1,589,287,144.27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1,547,126,951.53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减：营业成本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1,445,371,006.12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1,381,011,040.75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3,778,114.02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3,543,297.24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4,748,350.48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4,123,513.83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43,734,085.88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34,085,464.29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48,836,833.26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47,335,423.12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30,098,483.30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34,389,437.66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45,225,737.54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36,474,544.36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700" w:firstLine="1260"/>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3,783,526.02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3,365,186.42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2,693,122.54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3,214,939.51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投资收益（损失以“－”号填列）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257,170.08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其中：对联营企业和合营企业的投资收益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700" w:firstLine="1260"/>
              <w:rPr>
                <w:rFonts w:ascii="宋体" w:eastAsia="宋体" w:hAnsi="宋体" w:cs="宋体"/>
                <w:sz w:val="18"/>
                <w:szCs w:val="18"/>
              </w:rPr>
            </w:pPr>
            <w:r>
              <w:rPr>
                <w:rFonts w:ascii="宋体" w:eastAsia="宋体" w:hAnsi="宋体" w:cs="宋体"/>
                <w:sz w:val="18"/>
                <w:szCs w:val="18"/>
              </w:rPr>
              <w:t>以摊余成本计量的金融资产终止确认收益（损失以“-”号填列）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净敞口套期收益（损失以“－”号填列）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公允价值变动收益（损失以“－”号填列）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信用减值损失（损失以“-”号填列）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-1,191,873.17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2,204,220.70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资产处置收益（损失以“-”号填列）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-25,382.14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二、营业利润（亏损以“－”号填列）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14,473,230.66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49,423,780.31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496,465.30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55,600.00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2,043,422.25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1,113,593.18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三、利润总额（亏损总额以“－”号填列）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12,926,273.71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48,365,787.13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-565,740.79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1,814,804.04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四、净利润（净亏损以“－”号填列）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46,550,983.09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（一）持续经营净利润（净亏损以“－”号填列）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46,550,983.09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（二）终止经营净利润（净亏损以“－”号填列）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五、其他综合收益的税后净额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1.重新计量设定受益计划变动</w:t>
            </w:r>
            <w:r>
              <w:rPr>
                <w:rFonts w:ascii="宋体" w:eastAsia="宋体" w:hAnsi="宋体" w:cs="宋体"/>
                <w:sz w:val="18"/>
                <w:szCs w:val="18"/>
              </w:rPr>
              <w:lastRenderedPageBreak/>
              <w:t>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lastRenderedPageBreak/>
              <w:t>2.权益法下不能转损益的其他综合收益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3.其他权益工具投资公允价值变动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4.企业自身信用风险公允价值变动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5.其他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200" w:firstLine="360"/>
              <w:rPr>
                <w:rFonts w:ascii="宋体" w:eastAsia="宋体" w:hAnsi="宋体" w:cs="宋体"/>
                <w:sz w:val="18"/>
                <w:szCs w:val="18"/>
              </w:rPr>
            </w:pPr>
            <w:r>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1.权益法下可转损益的其他综合收益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2.其他债权投资公允价值变动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3.金融资产重分类计入其他综合收益的金额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4.其他债权投资信用减值准备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5.现金流量套期储备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6.外币财务报表折算差额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300" w:firstLine="540"/>
              <w:rPr>
                <w:rFonts w:ascii="宋体" w:eastAsia="宋体" w:hAnsi="宋体" w:cs="宋体"/>
                <w:sz w:val="18"/>
                <w:szCs w:val="18"/>
              </w:rPr>
            </w:pPr>
            <w:r>
              <w:rPr>
                <w:rFonts w:ascii="宋体" w:eastAsia="宋体" w:hAnsi="宋体" w:cs="宋体"/>
                <w:sz w:val="18"/>
                <w:szCs w:val="18"/>
              </w:rPr>
              <w:t>7.其他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六、综合收益总额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46,550,983.09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七、每股收益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pStyle w:val="3"/>
        <w:spacing w:line="280" w:lineRule="exact"/>
        <w:jc w:val="left"/>
        <w:rPr>
          <w:rFonts w:ascii="宋体" w:hAnsi="宋体" w:cs="宋体"/>
          <w:b/>
          <w:bCs/>
        </w:rPr>
      </w:pPr>
      <w:bookmarkStart w:id="168" w:name="_Toc989057"/>
      <w:r>
        <w:rPr>
          <w:rFonts w:ascii="宋体" w:hAnsi="宋体" w:cs="宋体"/>
          <w:b/>
          <w:bCs/>
        </w:rPr>
        <w:t>5、合并现金流量表</w:t>
      </w:r>
      <w:bookmarkEnd w:id="16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2021年度</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1,475,581,611.08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1,396,363,357.85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客户存款和同业存放款项净增加额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向中央银行借款净增加额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向其他金融机构拆入资金净增加额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收到原保险合同保费取得的现金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收到再保业务现金净额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保户储金及投资款净增加额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收取利息、手续费及佣金的现金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回购业务资金净增加额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代理买卖证券收到的现金净额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76,838,845.71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4,054,490.60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227,061,988.79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183,661,311.49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1,779,482,445.58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1,584,079,159.94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1,340,073,730.61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1,178,688,499.08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客户贷款及垫款净增加额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存放中央银行和同业款项净增加额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支付原保险合同赔付款项的现金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拆出资金净增加额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支付保单红利的现金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87,680,433.03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83,252,131.44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23,229,361.26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19,906,749.42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269,638,481.43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271,159,378.40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1,720,622,006.33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1,553,006,758.34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58,860,439.25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31,072,401.60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747,185.08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41,600.00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69,647,359.97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47,903,804.02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788,785.08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118,438,127.59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46,358,619.84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61,465,114.06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质押贷款净增加额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46,358,619.84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86,165,114.06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-45,569,834.76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32,273,013.53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其中：子公司吸收少数股东投资收到的现金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558,785,000.00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855,216,750.00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558,785,000.00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880,388,050.00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585,320,000.00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882,206,750.00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63,973,175.31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42,767,137.53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其中：子公司支付给少数股东的股利、利润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7,148,700.99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649,398,175.31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932,122,588.52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-90,613,175.31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-51,734,538.52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7,226,002.20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-920,709.29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-70,096,568.62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10,690,167.32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134,323,936.11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123,633,768.79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64,227,367.49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134,323,936.11</w:t>
            </w:r>
          </w:p>
        </w:tc>
      </w:tr>
    </w:tbl>
    <w:p w:rsidR="00E22F4C" w:rsidRDefault="00381575">
      <w:pPr>
        <w:pStyle w:val="3"/>
        <w:spacing w:line="280" w:lineRule="exact"/>
        <w:jc w:val="left"/>
        <w:rPr>
          <w:rFonts w:ascii="宋体" w:hAnsi="宋体" w:cs="宋体"/>
          <w:b/>
          <w:bCs/>
        </w:rPr>
      </w:pPr>
      <w:bookmarkStart w:id="169" w:name="_Toc989058"/>
      <w:r>
        <w:rPr>
          <w:rFonts w:ascii="宋体" w:hAnsi="宋体" w:cs="宋体"/>
          <w:b/>
          <w:bCs/>
        </w:rPr>
        <w:t>6、母公司现金流量表</w:t>
      </w:r>
      <w:bookmarkEnd w:id="169"/>
    </w:p>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2021年度</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1,396,000,168.51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1,478,083,422.10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32,510,003.23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4,044,511.49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154,806,151.53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155,522,941.94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1,583,316,323.27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1,637,650,875.53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1,298,503,674.18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1,265,892,054.13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54,912,271.37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51,377,161.04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4,954,861.19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10,720,544.64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192,878,982.87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198,788,703.53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1,551,249,789.61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1,526,778,463.34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32,066,533.66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110,872,412.19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747,185.08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1,951,017.90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212,411.66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-2,641,872.21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25,000,000.00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56,330.77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26,099,375.26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34,930,350.69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60,791,021.12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5,345,022.98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40,275,373.67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75,791,021.12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-40,219,042.90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-49,691,645.86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485,785,000.00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585,216,750.00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485,785,000.00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610,388,050.00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497,820,000.00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626,206,750.00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48,635,963.78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28,439,315.93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3,649,510.18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546,455,963.78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658,295,576.11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-60,670,963.78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-47,907,526.11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7,226,002.20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-920,709.29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-61,597,470.82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12,352,530.93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ind w:firstLineChars="100" w:firstLine="180"/>
              <w:rPr>
                <w:rFonts w:ascii="宋体" w:eastAsia="宋体" w:hAnsi="宋体" w:cs="宋体"/>
                <w:sz w:val="18"/>
                <w:szCs w:val="18"/>
              </w:rPr>
            </w:pPr>
            <w:r>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120,648,355.16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108,295,824.23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59,050,884.34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120,648,355.16</w:t>
            </w:r>
          </w:p>
        </w:tc>
      </w:tr>
    </w:tbl>
    <w:p w:rsidR="00E22F4C" w:rsidRDefault="00381575">
      <w:pPr>
        <w:pStyle w:val="3"/>
        <w:spacing w:line="280" w:lineRule="exact"/>
        <w:jc w:val="left"/>
        <w:rPr>
          <w:rFonts w:ascii="宋体" w:hAnsi="宋体" w:cs="宋体"/>
          <w:b/>
          <w:bCs/>
        </w:rPr>
      </w:pPr>
      <w:bookmarkStart w:id="170" w:name="_Toc989059"/>
      <w:r>
        <w:rPr>
          <w:rFonts w:ascii="宋体" w:hAnsi="宋体" w:cs="宋体"/>
          <w:b/>
          <w:bCs/>
        </w:rPr>
        <w:t>7、合并所有者权益变动表</w:t>
      </w:r>
      <w:bookmarkEnd w:id="170"/>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本期金额</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02"/>
        <w:gridCol w:w="602"/>
        <w:gridCol w:w="602"/>
        <w:gridCol w:w="602"/>
        <w:gridCol w:w="603"/>
        <w:gridCol w:w="602"/>
        <w:gridCol w:w="602"/>
        <w:gridCol w:w="602"/>
        <w:gridCol w:w="602"/>
        <w:gridCol w:w="602"/>
        <w:gridCol w:w="602"/>
        <w:gridCol w:w="602"/>
        <w:gridCol w:w="602"/>
        <w:gridCol w:w="607"/>
        <w:gridCol w:w="602"/>
        <w:gridCol w:w="603"/>
      </w:tblGrid>
      <w:tr w:rsidR="00E22F4C">
        <w:trPr>
          <w:trHeight w:val="240"/>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r>
      <w:tr w:rsidR="00E22F4C">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0" w:lineRule="atLeast"/>
              <w:jc w:val="center"/>
              <w:rPr>
                <w:rFonts w:ascii="宋体" w:eastAsia="宋体" w:hAnsi="宋体" w:cs="宋体"/>
                <w:sz w:val="18"/>
                <w:szCs w:val="18"/>
              </w:rPr>
            </w:pPr>
            <w:r>
              <w:rPr>
                <w:rFonts w:ascii="宋体" w:eastAsia="宋体" w:hAnsi="宋体" w:cs="宋体"/>
                <w:sz w:val="18"/>
                <w:szCs w:val="18"/>
              </w:rPr>
              <w:t>少数股东权益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E22F4C">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一、上年期末余额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222,338,577.93</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31,918,879.60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387,320,163.25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加：会计政策变</w:t>
            </w:r>
            <w:r>
              <w:rPr>
                <w:rFonts w:ascii="宋体" w:eastAsia="宋体" w:hAnsi="宋体" w:cs="宋体"/>
                <w:sz w:val="18"/>
                <w:szCs w:val="18"/>
              </w:rPr>
              <w:lastRenderedPageBreak/>
              <w:t>更</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lastRenderedPageBreak/>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同一控制下企业合并</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222,338,577.93</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31,918,879.60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387,320,163.25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三、本期增减变动金额（减少以“－”号填列）</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-14,339.29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7,726,484.58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-10,121,180.00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-4,788,528.75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-70,213,843.58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-55,815,449.59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-55,815,449.59</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（一）综合收益总额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-14,339.29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7,726,484.58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-10,121,180.00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17,837,721.29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17,837,721.29</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2．其他权益工具持有者投入资本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-14,339.29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634,184.58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624,241.29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624,241.29</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w:t>
            </w:r>
            <w:r>
              <w:rPr>
                <w:rFonts w:ascii="宋体" w:eastAsia="宋体" w:hAnsi="宋体" w:cs="宋体"/>
                <w:sz w:val="18"/>
                <w:szCs w:val="18"/>
              </w:rPr>
              <w:lastRenderedPageBreak/>
              <w:t>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7,09</w:t>
            </w:r>
            <w:r>
              <w:rPr>
                <w:rFonts w:ascii="宋体" w:eastAsia="宋体" w:hAnsi="宋体" w:cs="宋体"/>
                <w:sz w:val="18"/>
                <w:szCs w:val="18"/>
              </w:rPr>
              <w:lastRenderedPageBreak/>
              <w:t>2,300.00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w:t>
            </w:r>
            <w:r>
              <w:rPr>
                <w:rFonts w:ascii="宋体" w:eastAsia="宋体" w:hAnsi="宋体" w:cs="宋体"/>
                <w:sz w:val="18"/>
                <w:szCs w:val="18"/>
              </w:rPr>
              <w:lastRenderedPageBreak/>
              <w:t>10,121,180.00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w:t>
            </w:r>
            <w:r>
              <w:rPr>
                <w:rFonts w:ascii="宋体" w:eastAsia="宋体" w:hAnsi="宋体" w:cs="宋体"/>
                <w:sz w:val="18"/>
                <w:szCs w:val="18"/>
              </w:rPr>
              <w:lastRenderedPageBreak/>
              <w:t>13,480.00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w:t>
            </w:r>
            <w:r>
              <w:rPr>
                <w:rFonts w:ascii="宋体" w:eastAsia="宋体" w:hAnsi="宋体" w:cs="宋体"/>
                <w:sz w:val="18"/>
                <w:szCs w:val="18"/>
              </w:rPr>
              <w:lastRenderedPageBreak/>
              <w:t>13,480.00</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4．其他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-28,951,315.00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-27,602,113.55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-27,602,113.55</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1．提取盈余公积</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3．对所有者（或股东）的分配</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-27,745,013.55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-27,745,013.55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-27,745,013.55</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142,900.00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142,900.00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142,900.00</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w:t>
            </w:r>
            <w:r>
              <w:rPr>
                <w:rFonts w:ascii="宋体" w:eastAsia="宋体" w:hAnsi="宋体" w:cs="宋体"/>
                <w:sz w:val="18"/>
                <w:szCs w:val="18"/>
              </w:rPr>
              <w:lastRenderedPageBreak/>
              <w:t>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3．盈余公积弥补亏损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5．其他综合收益结转留存收益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6．其他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-4,788,528.75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-4,788,528.75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-4,788,528.75</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6,959,171.26</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6,959,171.26</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6,959,171.26</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11,747,700.01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11,747,700.01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11,747,700.01</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277,676,048.00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65,667,753.05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230,065,062.51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15,050,120.00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27,130,350.85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53,913,423.70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317,106,319.67</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956,508,837.78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956,508,837.78</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上期金额</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02"/>
        <w:gridCol w:w="602"/>
        <w:gridCol w:w="602"/>
        <w:gridCol w:w="602"/>
        <w:gridCol w:w="603"/>
        <w:gridCol w:w="602"/>
        <w:gridCol w:w="602"/>
        <w:gridCol w:w="602"/>
        <w:gridCol w:w="602"/>
        <w:gridCol w:w="602"/>
        <w:gridCol w:w="602"/>
        <w:gridCol w:w="602"/>
        <w:gridCol w:w="602"/>
        <w:gridCol w:w="607"/>
        <w:gridCol w:w="602"/>
        <w:gridCol w:w="603"/>
      </w:tblGrid>
      <w:tr w:rsidR="00E22F4C">
        <w:trPr>
          <w:trHeight w:val="240"/>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E22F4C">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少数股东权益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E22F4C">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一、上年期末</w:t>
            </w:r>
            <w:r>
              <w:rPr>
                <w:rFonts w:ascii="宋体" w:eastAsia="宋体" w:hAnsi="宋体" w:cs="宋体"/>
                <w:sz w:val="18"/>
                <w:szCs w:val="18"/>
              </w:rPr>
              <w:lastRenderedPageBreak/>
              <w:t>余额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273,642,296.</w:t>
            </w:r>
            <w:r>
              <w:rPr>
                <w:rFonts w:ascii="宋体" w:eastAsia="宋体" w:hAnsi="宋体" w:cs="宋体"/>
                <w:sz w:val="18"/>
                <w:szCs w:val="18"/>
              </w:rPr>
              <w:lastRenderedPageBreak/>
              <w:t>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65,643,695.5</w:t>
            </w:r>
            <w:r>
              <w:rPr>
                <w:rFonts w:ascii="宋体" w:eastAsia="宋体" w:hAnsi="宋体" w:cs="宋体"/>
                <w:sz w:val="18"/>
                <w:szCs w:val="18"/>
              </w:rPr>
              <w:lastRenderedPageBreak/>
              <w:t>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202,897,655.</w:t>
            </w:r>
            <w:r>
              <w:rPr>
                <w:rFonts w:ascii="宋体" w:eastAsia="宋体" w:hAnsi="宋体" w:cs="宋体"/>
                <w:sz w:val="18"/>
                <w:szCs w:val="18"/>
              </w:rPr>
              <w:lastRenderedPageBreak/>
              <w:t>07</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29,445,571.1</w:t>
            </w:r>
            <w:r>
              <w:rPr>
                <w:rFonts w:ascii="宋体" w:eastAsia="宋体" w:hAnsi="宋体" w:cs="宋体"/>
                <w:sz w:val="18"/>
                <w:szCs w:val="18"/>
              </w:rPr>
              <w:lastRenderedPageBreak/>
              <w:t>6</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47,909,123.9</w:t>
            </w:r>
            <w:r>
              <w:rPr>
                <w:rFonts w:ascii="宋体" w:eastAsia="宋体" w:hAnsi="宋体" w:cs="宋体"/>
                <w:sz w:val="18"/>
                <w:szCs w:val="18"/>
              </w:rPr>
              <w:lastRenderedPageBreak/>
              <w:t>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367,225,311.</w:t>
            </w:r>
            <w:r>
              <w:rPr>
                <w:rFonts w:ascii="宋体" w:eastAsia="宋体" w:hAnsi="宋体" w:cs="宋体"/>
                <w:sz w:val="18"/>
                <w:szCs w:val="18"/>
              </w:rPr>
              <w:lastRenderedPageBreak/>
              <w:t>52</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986,763,653.</w:t>
            </w:r>
            <w:r>
              <w:rPr>
                <w:rFonts w:ascii="宋体" w:eastAsia="宋体" w:hAnsi="宋体" w:cs="宋体"/>
                <w:sz w:val="18"/>
                <w:szCs w:val="18"/>
              </w:rPr>
              <w:lastRenderedPageBreak/>
              <w:t>28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986,763,653.</w:t>
            </w:r>
            <w:r>
              <w:rPr>
                <w:rFonts w:ascii="宋体" w:eastAsia="宋体" w:hAnsi="宋体" w:cs="宋体"/>
                <w:sz w:val="18"/>
                <w:szCs w:val="18"/>
              </w:rPr>
              <w:lastRenderedPageBreak/>
              <w:t>28</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加：会计政策变更</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同一控制下企业合并</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273,642,296.00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65,643,695.59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202,897,655.07</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29,445,571.16</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47,909,123.94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367,225,311.52</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986,763,653.28</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986,763,653.28</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三、本期增减变动金额（减少以“－”号填列）</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4,029,356.00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38,396.75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19,440,922.86</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2,473,308.44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20,094,851.73</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25,560,634.09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25,560,634.09</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（一）综合收益总额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4,029,356.00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38,396.75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19,440,922.86</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-1,662,624.39</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-1,662,624.39</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4,672,796.00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20,501,300.00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25,174,096.00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25,174,096.00</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2．其他权益工具</w:t>
            </w:r>
            <w:r>
              <w:rPr>
                <w:rFonts w:ascii="宋体" w:eastAsia="宋体" w:hAnsi="宋体" w:cs="宋体"/>
                <w:sz w:val="18"/>
                <w:szCs w:val="18"/>
              </w:rPr>
              <w:lastRenderedPageBreak/>
              <w:t>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38,396.75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43,446.37</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81,843.12</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81,843.12</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3．股份支付计入所有者权益的金额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-643,440.00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-1,103,823.51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-26,918,563.51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-26,918,563.51</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1．提取盈余公积</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3．对所有者（或股东）的分配</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2．盈余公积</w:t>
            </w:r>
            <w:r>
              <w:rPr>
                <w:rFonts w:ascii="宋体" w:eastAsia="宋体" w:hAnsi="宋体" w:cs="宋体"/>
                <w:sz w:val="18"/>
                <w:szCs w:val="18"/>
              </w:rPr>
              <w:lastRenderedPageBreak/>
              <w:t>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3．盈余公积弥补亏损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5．其他综合收益结转留存收益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6．其他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2,473,308.44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2,473,308.44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2,473,308.44</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7,200,702.86</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7,200,702.86</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7,200,702.86</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4,727,394.42</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4,727,394.42</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4,727,394.42</w:t>
            </w: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222,338,577.93</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31,918,879.60</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387,320,163.25</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1,012,324,287.37</w:t>
            </w:r>
          </w:p>
        </w:tc>
      </w:tr>
    </w:tbl>
    <w:p w:rsidR="00E22F4C" w:rsidRDefault="00381575">
      <w:pPr>
        <w:pStyle w:val="3"/>
        <w:spacing w:line="280" w:lineRule="exact"/>
        <w:jc w:val="left"/>
        <w:rPr>
          <w:rFonts w:ascii="宋体" w:hAnsi="宋体" w:cs="宋体"/>
          <w:b/>
          <w:bCs/>
        </w:rPr>
      </w:pPr>
      <w:bookmarkStart w:id="171" w:name="_Toc989060"/>
      <w:r>
        <w:rPr>
          <w:rFonts w:ascii="宋体" w:hAnsi="宋体" w:cs="宋体"/>
          <w:b/>
          <w:bCs/>
        </w:rPr>
        <w:t>8、母公司所有者权益变动表</w:t>
      </w:r>
      <w:bookmarkEnd w:id="171"/>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本期金额</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1"/>
        <w:gridCol w:w="741"/>
        <w:gridCol w:w="741"/>
        <w:gridCol w:w="741"/>
        <w:gridCol w:w="742"/>
        <w:gridCol w:w="741"/>
        <w:gridCol w:w="741"/>
        <w:gridCol w:w="741"/>
        <w:gridCol w:w="741"/>
        <w:gridCol w:w="741"/>
        <w:gridCol w:w="741"/>
        <w:gridCol w:w="741"/>
        <w:gridCol w:w="746"/>
      </w:tblGrid>
      <w:tr w:rsidR="00E22F4C">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8898"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r>
      <w:tr w:rsidR="00E22F4C">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222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资本</w:t>
            </w:r>
            <w:r>
              <w:rPr>
                <w:rFonts w:ascii="宋体" w:eastAsia="宋体" w:hAnsi="宋体" w:cs="宋体"/>
                <w:sz w:val="18"/>
                <w:szCs w:val="18"/>
              </w:rPr>
              <w:lastRenderedPageBreak/>
              <w:t>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减：</w:t>
            </w:r>
            <w:r>
              <w:rPr>
                <w:rFonts w:ascii="宋体" w:eastAsia="宋体" w:hAnsi="宋体" w:cs="宋体"/>
                <w:sz w:val="18"/>
                <w:szCs w:val="18"/>
              </w:rPr>
              <w:lastRenderedPageBreak/>
              <w:t>库存股</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其他</w:t>
            </w:r>
            <w:r>
              <w:rPr>
                <w:rFonts w:ascii="宋体" w:eastAsia="宋体" w:hAnsi="宋体" w:cs="宋体"/>
                <w:sz w:val="18"/>
                <w:szCs w:val="18"/>
              </w:rPr>
              <w:lastRenderedPageBreak/>
              <w:t>综合收益</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专项</w:t>
            </w:r>
            <w:r>
              <w:rPr>
                <w:rFonts w:ascii="宋体" w:eastAsia="宋体" w:hAnsi="宋体" w:cs="宋体"/>
                <w:sz w:val="18"/>
                <w:szCs w:val="18"/>
              </w:rPr>
              <w:lastRenderedPageBreak/>
              <w:t>储备</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盈余</w:t>
            </w:r>
            <w:r>
              <w:rPr>
                <w:rFonts w:ascii="宋体" w:eastAsia="宋体" w:hAnsi="宋体" w:cs="宋体"/>
                <w:sz w:val="18"/>
                <w:szCs w:val="18"/>
              </w:rPr>
              <w:lastRenderedPageBreak/>
              <w:t>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未分</w:t>
            </w:r>
            <w:r>
              <w:rPr>
                <w:rFonts w:ascii="宋体" w:eastAsia="宋体" w:hAnsi="宋体" w:cs="宋体"/>
                <w:sz w:val="18"/>
                <w:szCs w:val="18"/>
              </w:rPr>
              <w:lastRenderedPageBreak/>
              <w:t>配利润</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其他</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所有</w:t>
            </w:r>
            <w:r>
              <w:rPr>
                <w:rFonts w:ascii="宋体" w:eastAsia="宋体" w:hAnsi="宋体" w:cs="宋体"/>
                <w:sz w:val="18"/>
                <w:szCs w:val="18"/>
              </w:rPr>
              <w:lastRenderedPageBreak/>
              <w:t>者权益合计</w:t>
            </w:r>
          </w:p>
        </w:tc>
      </w:tr>
      <w:tr w:rsidR="00E22F4C">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一、上年期末余额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261,384,380.78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25,608,212.60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355,935,209.44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1,013,674,469.41</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加：会计政策变更</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前期差错更正</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261,384,380.78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25,608,212.60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355,935,209.44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1,013,674,469.41</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三、本期增减变动金额（减少以“－”号填列）</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-14,339.29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7,726,484.58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-10,121,180.00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-2,554,042.58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-15,459,300.50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1,173,579.66</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（一）综合收益总额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13,492,014.50</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-14,339.29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7,726,484.58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-10,121,180.00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17,837,721.29</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2．其他权益工具持</w:t>
            </w:r>
            <w:r>
              <w:rPr>
                <w:rFonts w:ascii="宋体" w:eastAsia="宋体" w:hAnsi="宋体" w:cs="宋体"/>
                <w:sz w:val="18"/>
                <w:szCs w:val="18"/>
              </w:rPr>
              <w:lastRenderedPageBreak/>
              <w:t>有者投入资本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4,396.00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-14,339.29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634,184.58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624,241.29</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3．股份支付计入所有者权益的金额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7,092,300.00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-10,121,180.00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17,213,480.00</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-28,951,315.00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-27,602,113.55</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1．提取盈余公积</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2．对所有者（或股东）的分配</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-27,745,013.55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-27,745,013.55</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142,900.00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142,900.00</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3．盈</w:t>
            </w:r>
            <w:r>
              <w:rPr>
                <w:rFonts w:ascii="宋体" w:eastAsia="宋体" w:hAnsi="宋体" w:cs="宋体"/>
                <w:sz w:val="18"/>
                <w:szCs w:val="18"/>
              </w:rPr>
              <w:lastRenderedPageBreak/>
              <w:t>余公积弥补亏损</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4．设定受益计划变动额结转留存收益</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5．其他综合收益结转留存收益</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6．其他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-2,554,042.58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-2,554,042.58</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6,532,225.08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6,532,225.08</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9,086,267.66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9,086,267.66</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277,676,048.00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65,667,753.05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269,110,865.36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15,050,120.00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23,054,170.02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53,913,423.70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340,475,908.94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1,014,848,049.07</w:t>
            </w:r>
          </w:p>
        </w:tc>
      </w:tr>
    </w:tbl>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上期金额</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1"/>
        <w:gridCol w:w="741"/>
        <w:gridCol w:w="741"/>
        <w:gridCol w:w="741"/>
        <w:gridCol w:w="742"/>
        <w:gridCol w:w="741"/>
        <w:gridCol w:w="741"/>
        <w:gridCol w:w="741"/>
        <w:gridCol w:w="741"/>
        <w:gridCol w:w="741"/>
        <w:gridCol w:w="741"/>
        <w:gridCol w:w="741"/>
        <w:gridCol w:w="746"/>
      </w:tblGrid>
      <w:tr w:rsidR="00E22F4C">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8898"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E22F4C">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222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E22F4C">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一、上年期末余额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273,642,296.00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65,643,695.59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241,943,457.92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21,351,984.77</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47,909,123.94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314,039,324.66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964,529,882.88</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w:t>
            </w:r>
            <w:r>
              <w:rPr>
                <w:rFonts w:ascii="宋体" w:eastAsia="宋体" w:hAnsi="宋体" w:cs="宋体"/>
                <w:sz w:val="18"/>
                <w:szCs w:val="18"/>
              </w:rPr>
              <w:lastRenderedPageBreak/>
              <w:t>策变更</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lastRenderedPageBreak/>
              <w:t>前期差错更正</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273,642,296.00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65,643,695.59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241,943,457.92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21,351,984.77</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47,909,123.94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314,039,324.66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964,529,882.88</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三、本期增减变动金额（减少以“－”号填列）</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4,029,356.00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38,396.75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19,440,922.86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4,256,227.83</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41,895,884.78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49,144,586.53</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（一）综合收益总额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46,550,983.09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46,550,983.09</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4,029,356.00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38,396.75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19,440,922.86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-1,662,624.39</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4,672,796.00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20,501,300.00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25,174,096.00</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2．其他权益工具持有者投入资本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38,396.75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43,446.37</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81,843.12</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3．股份支付计入所有者权益的金</w:t>
            </w:r>
            <w:r>
              <w:rPr>
                <w:rFonts w:ascii="宋体" w:eastAsia="宋体" w:hAnsi="宋体" w:cs="宋体"/>
                <w:sz w:val="18"/>
                <w:szCs w:val="18"/>
              </w:rPr>
              <w:lastRenderedPageBreak/>
              <w:t>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-643,440.00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-1,103,823.51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-26,918,563.51</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4．其他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1．提取盈余公积</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2．对所有者（或股东）的分配</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3．盈余公积弥补亏损</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w:t>
            </w:r>
            <w:r>
              <w:rPr>
                <w:rFonts w:ascii="宋体" w:eastAsia="宋体" w:hAnsi="宋体" w:cs="宋体"/>
                <w:sz w:val="18"/>
                <w:szCs w:val="18"/>
              </w:rPr>
              <w:lastRenderedPageBreak/>
              <w:t>留存收益</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5．其他综合收益结转留存收益</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6．其他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4,256,227.83</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4,256,227.83</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6,880,546.16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6,880,546.16</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2,624,318.33</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2,624,318.33</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261,384,380.78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25,608,212.60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355,935,209.44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1,013,674,469.41</w:t>
            </w:r>
          </w:p>
        </w:tc>
      </w:tr>
    </w:tbl>
    <w:p w:rsidR="00E22F4C" w:rsidRDefault="00381575">
      <w:pPr>
        <w:pStyle w:val="2"/>
        <w:spacing w:before="300" w:after="300" w:line="320" w:lineRule="exact"/>
        <w:rPr>
          <w:rFonts w:ascii="宋体" w:eastAsia="宋体" w:hAnsi="宋体" w:cs="宋体"/>
          <w:b/>
          <w:bCs/>
          <w:sz w:val="24"/>
          <w:szCs w:val="24"/>
        </w:rPr>
      </w:pPr>
      <w:bookmarkStart w:id="172" w:name="_Toc989061"/>
      <w:r>
        <w:rPr>
          <w:rFonts w:ascii="宋体" w:eastAsia="宋体" w:hAnsi="宋体" w:cs="宋体"/>
          <w:b/>
          <w:bCs/>
          <w:sz w:val="24"/>
          <w:szCs w:val="24"/>
        </w:rPr>
        <w:t>三、公司基本情况</w:t>
      </w:r>
      <w:bookmarkEnd w:id="172"/>
    </w:p>
    <w:p w:rsidR="00E22F4C" w:rsidRDefault="00E22F4C">
      <w:pPr>
        <w:pStyle w:val="a4"/>
        <w:spacing w:before="240" w:beforeAutospacing="0" w:after="0" w:afterAutospacing="0" w:line="380" w:lineRule="atLeast"/>
        <w:ind w:right="102" w:firstLine="424"/>
        <w:jc w:val="both"/>
        <w:divId w:val="1814903362"/>
        <w:rPr>
          <w:rFonts w:ascii="Times New Roman" w:hAnsi="Times New Roman" w:cs="Times New Roman"/>
          <w:sz w:val="21"/>
          <w:szCs w:val="21"/>
        </w:rPr>
      </w:pPr>
      <w:r>
        <w:rPr>
          <w:rFonts w:cs="Times New Roman" w:hint="eastAsia"/>
          <w:sz w:val="21"/>
          <w:szCs w:val="21"/>
        </w:rPr>
        <w:t>广东翔鹭钨业股份有限公司（以下简称“公司”或“本公司”）经潮安县工商行政管理局批准成立于</w:t>
      </w:r>
      <w:r>
        <w:rPr>
          <w:rFonts w:ascii="Times New Roman" w:hAnsi="Times New Roman" w:cs="Times New Roman"/>
          <w:sz w:val="21"/>
          <w:szCs w:val="21"/>
        </w:rPr>
        <w:t>1997</w:t>
      </w:r>
      <w:r>
        <w:rPr>
          <w:rFonts w:cs="Times New Roman" w:hint="eastAsia"/>
          <w:sz w:val="21"/>
          <w:szCs w:val="21"/>
        </w:rPr>
        <w:t>年</w:t>
      </w:r>
      <w:r>
        <w:rPr>
          <w:rFonts w:ascii="Times New Roman" w:hAnsi="Times New Roman" w:cs="Times New Roman"/>
          <w:sz w:val="21"/>
          <w:szCs w:val="21"/>
        </w:rPr>
        <w:t>4</w:t>
      </w:r>
      <w:r>
        <w:rPr>
          <w:rFonts w:cs="Times New Roman" w:hint="eastAsia"/>
          <w:sz w:val="21"/>
          <w:szCs w:val="21"/>
        </w:rPr>
        <w:t>月</w:t>
      </w:r>
      <w:r>
        <w:rPr>
          <w:rFonts w:ascii="Times New Roman" w:hAnsi="Times New Roman" w:cs="Times New Roman"/>
          <w:sz w:val="21"/>
          <w:szCs w:val="21"/>
        </w:rPr>
        <w:t>17</w:t>
      </w:r>
      <w:r>
        <w:rPr>
          <w:rFonts w:cs="Times New Roman" w:hint="eastAsia"/>
          <w:sz w:val="21"/>
          <w:szCs w:val="21"/>
        </w:rPr>
        <w:t>日。经中国证券监督管理委员会以“证监许可</w:t>
      </w:r>
      <w:r>
        <w:rPr>
          <w:rFonts w:ascii="Times New Roman" w:hAnsi="Times New Roman" w:cs="Times New Roman"/>
          <w:sz w:val="21"/>
          <w:szCs w:val="21"/>
        </w:rPr>
        <w:t>[2016]3106</w:t>
      </w:r>
      <w:r>
        <w:rPr>
          <w:rFonts w:cs="Times New Roman" w:hint="eastAsia"/>
          <w:sz w:val="21"/>
          <w:szCs w:val="21"/>
        </w:rPr>
        <w:t>号”文核准向社会公众公开发行人民币普通股（</w:t>
      </w:r>
      <w:r>
        <w:rPr>
          <w:rFonts w:ascii="Times New Roman" w:hAnsi="Times New Roman" w:cs="Times New Roman"/>
          <w:sz w:val="21"/>
          <w:szCs w:val="21"/>
        </w:rPr>
        <w:t xml:space="preserve">A </w:t>
      </w:r>
      <w:r>
        <w:rPr>
          <w:rFonts w:cs="Times New Roman" w:hint="eastAsia"/>
          <w:sz w:val="21"/>
          <w:szCs w:val="21"/>
        </w:rPr>
        <w:t>股）股票</w:t>
      </w:r>
      <w:r>
        <w:rPr>
          <w:rFonts w:ascii="Times New Roman" w:hAnsi="Times New Roman" w:cs="Times New Roman"/>
          <w:sz w:val="21"/>
          <w:szCs w:val="21"/>
        </w:rPr>
        <w:t>2,500</w:t>
      </w:r>
      <w:r>
        <w:rPr>
          <w:rFonts w:cs="Times New Roman" w:hint="eastAsia"/>
          <w:sz w:val="21"/>
          <w:szCs w:val="21"/>
        </w:rPr>
        <w:t>万股，并于</w:t>
      </w:r>
      <w:r>
        <w:rPr>
          <w:rFonts w:ascii="Times New Roman" w:hAnsi="Times New Roman" w:cs="Times New Roman"/>
          <w:sz w:val="21"/>
          <w:szCs w:val="21"/>
        </w:rPr>
        <w:t>2017</w:t>
      </w:r>
      <w:r>
        <w:rPr>
          <w:rFonts w:cs="Times New Roman" w:hint="eastAsia"/>
          <w:sz w:val="21"/>
          <w:szCs w:val="21"/>
        </w:rPr>
        <w:t>年</w:t>
      </w:r>
      <w:r>
        <w:rPr>
          <w:rFonts w:ascii="Times New Roman" w:hAnsi="Times New Roman" w:cs="Times New Roman"/>
          <w:sz w:val="21"/>
          <w:szCs w:val="21"/>
        </w:rPr>
        <w:t>1</w:t>
      </w:r>
      <w:r>
        <w:rPr>
          <w:rFonts w:cs="Times New Roman" w:hint="eastAsia"/>
          <w:sz w:val="21"/>
          <w:szCs w:val="21"/>
        </w:rPr>
        <w:t>月</w:t>
      </w:r>
      <w:r>
        <w:rPr>
          <w:rFonts w:ascii="Times New Roman" w:hAnsi="Times New Roman" w:cs="Times New Roman"/>
          <w:sz w:val="21"/>
          <w:szCs w:val="21"/>
        </w:rPr>
        <w:t>19</w:t>
      </w:r>
      <w:r>
        <w:rPr>
          <w:rFonts w:cs="Times New Roman" w:hint="eastAsia"/>
          <w:sz w:val="21"/>
          <w:szCs w:val="21"/>
        </w:rPr>
        <w:t>日在深圳证券交易所中小板上市交易，股票代码</w:t>
      </w:r>
      <w:r>
        <w:rPr>
          <w:rFonts w:ascii="Times New Roman" w:hAnsi="Times New Roman" w:cs="Times New Roman"/>
          <w:sz w:val="21"/>
          <w:szCs w:val="21"/>
        </w:rPr>
        <w:t>002842</w:t>
      </w:r>
      <w:r>
        <w:rPr>
          <w:rFonts w:cs="Times New Roman" w:hint="eastAsia"/>
          <w:sz w:val="21"/>
          <w:szCs w:val="21"/>
        </w:rPr>
        <w:t>，统一社会信用代码：</w:t>
      </w:r>
      <w:r>
        <w:rPr>
          <w:rFonts w:ascii="Times New Roman" w:hAnsi="Times New Roman" w:cs="Times New Roman"/>
          <w:sz w:val="21"/>
          <w:szCs w:val="21"/>
        </w:rPr>
        <w:t>914451002823643033</w:t>
      </w:r>
      <w:r>
        <w:rPr>
          <w:rFonts w:cs="Times New Roman" w:hint="eastAsia"/>
          <w:sz w:val="21"/>
          <w:szCs w:val="21"/>
        </w:rPr>
        <w:t>，注册地址：广东省潮州市湘桥区官塘镇庵头工业区，股本</w:t>
      </w:r>
      <w:r>
        <w:rPr>
          <w:rFonts w:ascii="Times New Roman" w:hAnsi="Times New Roman" w:cs="Times New Roman"/>
          <w:sz w:val="21"/>
          <w:szCs w:val="21"/>
        </w:rPr>
        <w:t>277,676,048.00</w:t>
      </w:r>
      <w:r>
        <w:rPr>
          <w:rFonts w:cs="Times New Roman" w:hint="eastAsia"/>
          <w:sz w:val="21"/>
          <w:szCs w:val="21"/>
        </w:rPr>
        <w:t>元，公司类型：股份有限公司。公司总部办公地址：广东省潮州市湘桥区官塘镇庵头工业区。</w:t>
      </w:r>
    </w:p>
    <w:p w:rsidR="00E22F4C" w:rsidRDefault="00E22F4C">
      <w:pPr>
        <w:pStyle w:val="a4"/>
        <w:spacing w:before="240" w:beforeAutospacing="0" w:after="0" w:afterAutospacing="0" w:line="380" w:lineRule="atLeast"/>
        <w:ind w:right="102" w:firstLine="424"/>
        <w:jc w:val="both"/>
        <w:divId w:val="1814903362"/>
        <w:rPr>
          <w:rFonts w:ascii="Times New Roman" w:hAnsi="Times New Roman" w:cs="Times New Roman"/>
          <w:sz w:val="21"/>
          <w:szCs w:val="21"/>
        </w:rPr>
      </w:pPr>
      <w:r>
        <w:rPr>
          <w:rFonts w:cs="Times New Roman" w:hint="eastAsia"/>
          <w:sz w:val="21"/>
          <w:szCs w:val="21"/>
        </w:rPr>
        <w:t>公司所属行业：有色金属冶炼和压延加工业。经营范围：加工、销售：钨精矿、钨制品、硬质合金及钨深加工产品；货物或技术进出口（国家禁止或涉及行政审批的货物和技术进出口除外）。（依法须经批准的项目，经相关部门批准后方可开展经营活动）。</w:t>
      </w:r>
      <w:r w:rsidR="00251F81" w:rsidRPr="00251F81">
        <w:rPr>
          <w:rFonts w:cs="Times New Roman" w:hint="eastAsia"/>
          <w:sz w:val="21"/>
          <w:szCs w:val="21"/>
        </w:rPr>
        <w:t>公司主要产品和业务是钨制品的开发、生产与销售</w:t>
      </w:r>
      <w:r w:rsidRPr="00251F81">
        <w:rPr>
          <w:rFonts w:cs="Times New Roman" w:hint="eastAsia"/>
          <w:sz w:val="21"/>
          <w:szCs w:val="21"/>
        </w:rPr>
        <w:t>。</w:t>
      </w:r>
    </w:p>
    <w:p w:rsidR="00E22F4C" w:rsidRDefault="00E22F4C">
      <w:pPr>
        <w:pStyle w:val="a4"/>
        <w:spacing w:before="0" w:beforeAutospacing="0" w:after="0" w:afterAutospacing="0"/>
        <w:jc w:val="both"/>
        <w:divId w:val="1814903362"/>
        <w:rPr>
          <w:rFonts w:ascii="Times New Roman" w:hAnsi="Times New Roman" w:cs="Times New Roman"/>
          <w:sz w:val="21"/>
          <w:szCs w:val="21"/>
        </w:rPr>
      </w:pPr>
      <w:r>
        <w:rPr>
          <w:rFonts w:cs="Times New Roman" w:hint="eastAsia"/>
          <w:sz w:val="21"/>
          <w:szCs w:val="21"/>
        </w:rPr>
        <w:t>  本财务报告业经公司董事会于</w:t>
      </w:r>
      <w:r w:rsidRPr="00251F81">
        <w:rPr>
          <w:rFonts w:ascii="Times New Roman" w:hAnsi="Times New Roman" w:cs="Times New Roman"/>
          <w:sz w:val="21"/>
          <w:szCs w:val="21"/>
        </w:rPr>
        <w:t>2023</w:t>
      </w:r>
      <w:r w:rsidRPr="00251F81">
        <w:rPr>
          <w:rFonts w:cs="Times New Roman" w:hint="eastAsia"/>
          <w:sz w:val="21"/>
          <w:szCs w:val="21"/>
        </w:rPr>
        <w:t>年</w:t>
      </w:r>
      <w:r w:rsidRPr="00251F81">
        <w:rPr>
          <w:rFonts w:ascii="Times New Roman" w:hAnsi="Times New Roman" w:cs="Times New Roman"/>
          <w:sz w:val="21"/>
          <w:szCs w:val="21"/>
        </w:rPr>
        <w:t>4</w:t>
      </w:r>
      <w:r w:rsidRPr="00251F81">
        <w:rPr>
          <w:rFonts w:cs="Times New Roman" w:hint="eastAsia"/>
          <w:sz w:val="21"/>
          <w:szCs w:val="21"/>
        </w:rPr>
        <w:t>月</w:t>
      </w:r>
      <w:r w:rsidRPr="00251F81">
        <w:rPr>
          <w:rFonts w:ascii="Times New Roman" w:hAnsi="Times New Roman" w:cs="Times New Roman"/>
          <w:sz w:val="21"/>
          <w:szCs w:val="21"/>
        </w:rPr>
        <w:t>20</w:t>
      </w:r>
      <w:r w:rsidRPr="00251F81">
        <w:rPr>
          <w:rFonts w:cs="Times New Roman" w:hint="eastAsia"/>
          <w:sz w:val="21"/>
          <w:szCs w:val="21"/>
        </w:rPr>
        <w:t>日</w:t>
      </w:r>
      <w:r>
        <w:rPr>
          <w:rFonts w:cs="Times New Roman" w:hint="eastAsia"/>
          <w:sz w:val="21"/>
          <w:szCs w:val="21"/>
        </w:rPr>
        <w:t>批准对外报出。</w:t>
      </w:r>
    </w:p>
    <w:tbl>
      <w:tblPr>
        <w:tblW w:w="4698" w:type="pct"/>
        <w:jc w:val="center"/>
        <w:tblCellMar>
          <w:top w:w="15" w:type="dxa"/>
          <w:left w:w="15" w:type="dxa"/>
          <w:bottom w:w="15" w:type="dxa"/>
          <w:right w:w="15" w:type="dxa"/>
        </w:tblCellMar>
        <w:tblLook w:val="04A0"/>
      </w:tblPr>
      <w:tblGrid>
        <w:gridCol w:w="4892"/>
        <w:gridCol w:w="4366"/>
      </w:tblGrid>
      <w:tr w:rsidR="00E22F4C">
        <w:trPr>
          <w:divId w:val="144007065"/>
          <w:cantSplit/>
          <w:trHeight w:val="490"/>
          <w:jc w:val="center"/>
        </w:trPr>
        <w:tc>
          <w:tcPr>
            <w:tcW w:w="26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子 公 司 名 称</w:t>
            </w:r>
          </w:p>
        </w:tc>
        <w:tc>
          <w:tcPr>
            <w:tcW w:w="235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变 化 情 况</w:t>
            </w:r>
          </w:p>
        </w:tc>
      </w:tr>
      <w:tr w:rsidR="00E22F4C">
        <w:trPr>
          <w:divId w:val="144007065"/>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both"/>
              <w:rPr>
                <w:rFonts w:ascii="Times New Roman" w:hAnsi="Times New Roman" w:cs="Times New Roman"/>
                <w:sz w:val="21"/>
                <w:szCs w:val="21"/>
              </w:rPr>
            </w:pPr>
            <w:r>
              <w:rPr>
                <w:rFonts w:cs="Times New Roman" w:hint="eastAsia"/>
                <w:sz w:val="21"/>
                <w:szCs w:val="21"/>
              </w:rPr>
              <w:t>广东翔鹭精密制造有限公司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无变化</w:t>
            </w:r>
          </w:p>
        </w:tc>
      </w:tr>
      <w:tr w:rsidR="00E22F4C">
        <w:trPr>
          <w:divId w:val="144007065"/>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rPr>
                <w:rFonts w:ascii="Times New Roman" w:hAnsi="Times New Roman" w:cs="Times New Roman"/>
                <w:sz w:val="21"/>
                <w:szCs w:val="21"/>
              </w:rPr>
            </w:pPr>
            <w:r>
              <w:rPr>
                <w:rFonts w:cs="Times New Roman" w:hint="eastAsia"/>
                <w:sz w:val="21"/>
                <w:szCs w:val="21"/>
              </w:rPr>
              <w:lastRenderedPageBreak/>
              <w:t>东莞市翔鹭精密工具有限公司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无变化</w:t>
            </w:r>
          </w:p>
        </w:tc>
      </w:tr>
      <w:tr w:rsidR="00E22F4C">
        <w:trPr>
          <w:divId w:val="144007065"/>
          <w:cantSplit/>
          <w:trHeight w:val="394"/>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rPr>
                <w:rFonts w:ascii="Times New Roman" w:hAnsi="Times New Roman" w:cs="Times New Roman"/>
                <w:sz w:val="21"/>
                <w:szCs w:val="21"/>
              </w:rPr>
            </w:pPr>
            <w:r>
              <w:rPr>
                <w:rFonts w:cs="Times New Roman" w:hint="eastAsia"/>
                <w:sz w:val="21"/>
                <w:szCs w:val="21"/>
              </w:rPr>
              <w:t>江西翔鹭钨业有限公司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无变化</w:t>
            </w:r>
          </w:p>
        </w:tc>
      </w:tr>
      <w:tr w:rsidR="00E22F4C">
        <w:trPr>
          <w:divId w:val="144007065"/>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rPr>
                <w:rFonts w:ascii="Times New Roman" w:hAnsi="Times New Roman" w:cs="Times New Roman"/>
                <w:sz w:val="21"/>
                <w:szCs w:val="21"/>
              </w:rPr>
            </w:pPr>
            <w:r>
              <w:rPr>
                <w:rFonts w:cs="Times New Roman" w:hint="eastAsia"/>
                <w:sz w:val="21"/>
                <w:szCs w:val="21"/>
              </w:rPr>
              <w:t>大余隆鑫泰金属材料有限公司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无变化</w:t>
            </w:r>
          </w:p>
        </w:tc>
      </w:tr>
      <w:tr w:rsidR="00E22F4C">
        <w:trPr>
          <w:divId w:val="144007065"/>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rPr>
                <w:rFonts w:ascii="Times New Roman" w:hAnsi="Times New Roman" w:cs="Times New Roman"/>
                <w:sz w:val="21"/>
                <w:szCs w:val="21"/>
              </w:rPr>
            </w:pPr>
            <w:r>
              <w:rPr>
                <w:rFonts w:cs="Times New Roman" w:hint="eastAsia"/>
                <w:sz w:val="21"/>
                <w:szCs w:val="21"/>
              </w:rPr>
              <w:t>大余隆鑫泰矿业有限公司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无变化</w:t>
            </w:r>
          </w:p>
        </w:tc>
      </w:tr>
      <w:tr w:rsidR="00E22F4C">
        <w:trPr>
          <w:divId w:val="144007065"/>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rPr>
                <w:rFonts w:ascii="Times New Roman" w:hAnsi="Times New Roman" w:cs="Times New Roman"/>
                <w:sz w:val="21"/>
                <w:szCs w:val="21"/>
              </w:rPr>
            </w:pPr>
            <w:r>
              <w:rPr>
                <w:rFonts w:cs="Times New Roman" w:hint="eastAsia"/>
                <w:sz w:val="21"/>
                <w:szCs w:val="21"/>
              </w:rPr>
              <w:t>大余县新城海德材料有限公司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无变化</w:t>
            </w:r>
          </w:p>
        </w:tc>
      </w:tr>
      <w:tr w:rsidR="00E22F4C">
        <w:trPr>
          <w:divId w:val="144007065"/>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rPr>
                <w:rFonts w:ascii="Times New Roman" w:hAnsi="Times New Roman" w:cs="Times New Roman"/>
                <w:sz w:val="21"/>
                <w:szCs w:val="21"/>
              </w:rPr>
            </w:pPr>
            <w:r>
              <w:rPr>
                <w:rFonts w:cs="Times New Roman" w:hint="eastAsia"/>
                <w:sz w:val="21"/>
                <w:szCs w:val="21"/>
              </w:rPr>
              <w:t>江西翔鹭精密制造有限公司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120" w:beforeAutospacing="0" w:after="120" w:afterAutospacing="0" w:line="240" w:lineRule="atLeast"/>
              <w:jc w:val="center"/>
              <w:rPr>
                <w:rFonts w:ascii="Times New Roman" w:hAnsi="Times New Roman" w:cs="Times New Roman"/>
                <w:sz w:val="21"/>
                <w:szCs w:val="21"/>
              </w:rPr>
            </w:pPr>
            <w:r>
              <w:rPr>
                <w:rFonts w:cs="Times New Roman" w:hint="eastAsia"/>
                <w:sz w:val="21"/>
                <w:szCs w:val="21"/>
              </w:rPr>
              <w:t>无变化</w:t>
            </w:r>
          </w:p>
        </w:tc>
      </w:tr>
    </w:tbl>
    <w:p w:rsidR="00E22F4C" w:rsidRDefault="00E22F4C">
      <w:pPr>
        <w:divId w:val="144007065"/>
        <w:rPr>
          <w:sz w:val="24"/>
          <w:szCs w:val="24"/>
        </w:rPr>
      </w:pPr>
    </w:p>
    <w:p w:rsidR="00E22F4C" w:rsidRDefault="00381575">
      <w:pPr>
        <w:pStyle w:val="2"/>
        <w:spacing w:before="300" w:after="300" w:line="320" w:lineRule="exact"/>
        <w:rPr>
          <w:rFonts w:ascii="宋体" w:eastAsia="宋体" w:hAnsi="宋体" w:cs="宋体"/>
          <w:b/>
          <w:bCs/>
          <w:sz w:val="24"/>
          <w:szCs w:val="24"/>
        </w:rPr>
      </w:pPr>
      <w:bookmarkStart w:id="173" w:name="_Toc989062"/>
      <w:r>
        <w:rPr>
          <w:rFonts w:ascii="宋体" w:eastAsia="宋体" w:hAnsi="宋体" w:cs="宋体"/>
          <w:b/>
          <w:bCs/>
          <w:sz w:val="24"/>
          <w:szCs w:val="24"/>
        </w:rPr>
        <w:t>四、财务报表的编制基础</w:t>
      </w:r>
      <w:bookmarkEnd w:id="173"/>
    </w:p>
    <w:p w:rsidR="00E22F4C" w:rsidRDefault="00381575">
      <w:pPr>
        <w:pStyle w:val="3"/>
        <w:spacing w:line="280" w:lineRule="exact"/>
        <w:jc w:val="left"/>
        <w:rPr>
          <w:rFonts w:ascii="宋体" w:hAnsi="宋体" w:cs="宋体"/>
          <w:b/>
          <w:bCs/>
        </w:rPr>
      </w:pPr>
      <w:bookmarkStart w:id="174" w:name="_Toc989063"/>
      <w:r>
        <w:rPr>
          <w:rFonts w:ascii="宋体" w:hAnsi="宋体" w:cs="宋体"/>
          <w:b/>
          <w:bCs/>
        </w:rPr>
        <w:t>1、编制基础</w:t>
      </w:r>
      <w:bookmarkEnd w:id="174"/>
    </w:p>
    <w:p w:rsidR="00E22F4C" w:rsidRDefault="00E22F4C">
      <w:pPr>
        <w:pStyle w:val="a4"/>
        <w:spacing w:before="240" w:beforeAutospacing="0" w:after="0" w:afterAutospacing="0" w:line="380" w:lineRule="atLeast"/>
        <w:ind w:right="102" w:firstLine="424"/>
        <w:jc w:val="both"/>
        <w:divId w:val="413940772"/>
        <w:rPr>
          <w:rFonts w:ascii="Times New Roman" w:hAnsi="Times New Roman" w:cs="Times New Roman"/>
          <w:sz w:val="21"/>
          <w:szCs w:val="21"/>
        </w:rPr>
      </w:pPr>
      <w:r>
        <w:rPr>
          <w:rFonts w:cs="Times New Roman" w:hint="eastAsia"/>
          <w:sz w:val="21"/>
          <w:szCs w:val="21"/>
        </w:rPr>
        <w:t>公司以持续经营为基础，根据实际发生的交易和事项，按照财政部颁布的《企业会计准则</w:t>
      </w:r>
      <w:r>
        <w:rPr>
          <w:rFonts w:ascii="Times New Roman" w:hAnsi="Times New Roman" w:cs="Times New Roman"/>
          <w:sz w:val="21"/>
          <w:szCs w:val="21"/>
        </w:rPr>
        <w:t>—</w:t>
      </w:r>
      <w:r>
        <w:rPr>
          <w:rFonts w:cs="Times New Roman" w:hint="eastAsia"/>
          <w:sz w:val="21"/>
          <w:szCs w:val="21"/>
        </w:rPr>
        <w:t>基本准则》和各项具体会计准则、企业会计准则应用指南、企业会计准则解释及其他相关规定，以及中国证券监督管理委员会《公开发行证券的公司信息披露编报规则第</w:t>
      </w:r>
      <w:r>
        <w:rPr>
          <w:rFonts w:ascii="Times New Roman" w:hAnsi="Times New Roman" w:cs="Times New Roman"/>
          <w:sz w:val="21"/>
          <w:szCs w:val="21"/>
        </w:rPr>
        <w:t xml:space="preserve">15 </w:t>
      </w:r>
      <w:r>
        <w:rPr>
          <w:rFonts w:cs="Times New Roman" w:hint="eastAsia"/>
          <w:sz w:val="21"/>
          <w:szCs w:val="21"/>
        </w:rPr>
        <w:t>号</w:t>
      </w:r>
      <w:r>
        <w:rPr>
          <w:rFonts w:ascii="Times New Roman" w:hAnsi="Times New Roman" w:cs="Times New Roman"/>
          <w:sz w:val="21"/>
          <w:szCs w:val="21"/>
        </w:rPr>
        <w:t>—</w:t>
      </w:r>
      <w:r>
        <w:rPr>
          <w:rFonts w:cs="Times New Roman" w:hint="eastAsia"/>
          <w:sz w:val="21"/>
          <w:szCs w:val="21"/>
        </w:rPr>
        <w:t>财务报告的一般规定》的披露规定编制财务报表。</w:t>
      </w:r>
    </w:p>
    <w:p w:rsidR="00E22F4C" w:rsidRDefault="00381575">
      <w:pPr>
        <w:pStyle w:val="3"/>
        <w:spacing w:line="280" w:lineRule="exact"/>
        <w:jc w:val="left"/>
        <w:rPr>
          <w:rFonts w:ascii="宋体" w:hAnsi="宋体" w:cs="宋体"/>
          <w:b/>
          <w:bCs/>
        </w:rPr>
      </w:pPr>
      <w:bookmarkStart w:id="175" w:name="_Toc989064"/>
      <w:r>
        <w:rPr>
          <w:rFonts w:ascii="宋体" w:hAnsi="宋体" w:cs="宋体"/>
          <w:b/>
          <w:bCs/>
        </w:rPr>
        <w:t>2、持续经营</w:t>
      </w:r>
      <w:bookmarkEnd w:id="175"/>
    </w:p>
    <w:p w:rsidR="00E22F4C" w:rsidRDefault="00E22F4C">
      <w:pPr>
        <w:pStyle w:val="a4"/>
        <w:spacing w:before="240" w:beforeAutospacing="0" w:after="0" w:afterAutospacing="0" w:line="380" w:lineRule="atLeast"/>
        <w:ind w:right="102" w:firstLine="424"/>
        <w:jc w:val="both"/>
        <w:divId w:val="1991398155"/>
        <w:rPr>
          <w:rFonts w:ascii="Times New Roman" w:hAnsi="Times New Roman" w:cs="Times New Roman"/>
          <w:sz w:val="21"/>
          <w:szCs w:val="21"/>
        </w:rPr>
      </w:pPr>
      <w:r>
        <w:rPr>
          <w:rFonts w:cs="Times New Roman" w:hint="eastAsia"/>
          <w:sz w:val="21"/>
          <w:szCs w:val="21"/>
        </w:rPr>
        <w:t>本公司承诺自报告期末起至少</w:t>
      </w:r>
      <w:r>
        <w:rPr>
          <w:rFonts w:ascii="Times New Roman" w:hAnsi="Times New Roman" w:cs="Times New Roman"/>
          <w:sz w:val="21"/>
          <w:szCs w:val="21"/>
        </w:rPr>
        <w:t>12</w:t>
      </w:r>
      <w:r>
        <w:rPr>
          <w:rFonts w:cs="Times New Roman" w:hint="eastAsia"/>
          <w:sz w:val="21"/>
          <w:szCs w:val="21"/>
        </w:rPr>
        <w:t>个月不存在影响公司持续经营的事项。</w:t>
      </w:r>
    </w:p>
    <w:p w:rsidR="00E22F4C" w:rsidRDefault="00381575">
      <w:pPr>
        <w:pStyle w:val="2"/>
        <w:spacing w:before="300" w:after="300" w:line="560" w:lineRule="exact"/>
        <w:rPr>
          <w:rFonts w:ascii="宋体" w:eastAsia="宋体" w:hAnsi="宋体" w:cs="宋体"/>
          <w:b/>
          <w:bCs/>
          <w:sz w:val="24"/>
          <w:szCs w:val="24"/>
        </w:rPr>
      </w:pPr>
      <w:bookmarkStart w:id="176" w:name="_Toc989065"/>
      <w:r>
        <w:rPr>
          <w:rFonts w:ascii="宋体" w:eastAsia="宋体" w:hAnsi="宋体" w:cs="宋体"/>
          <w:b/>
          <w:bCs/>
          <w:sz w:val="24"/>
          <w:szCs w:val="24"/>
        </w:rPr>
        <w:t>五、重要会计政策及会计估计</w:t>
      </w:r>
      <w:bookmarkEnd w:id="17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具体会计政策和会计估计提示：</w:t>
      </w:r>
    </w:p>
    <w:p w:rsidR="00E22F4C" w:rsidRDefault="00E22F4C">
      <w:pPr>
        <w:pStyle w:val="a4"/>
        <w:spacing w:before="240" w:beforeAutospacing="0" w:after="0" w:afterAutospacing="0" w:line="380" w:lineRule="atLeast"/>
        <w:ind w:right="102" w:firstLine="424"/>
        <w:jc w:val="both"/>
        <w:divId w:val="1191141252"/>
        <w:rPr>
          <w:rFonts w:ascii="Times New Roman" w:hAnsi="Times New Roman" w:cs="Times New Roman"/>
          <w:sz w:val="21"/>
          <w:szCs w:val="21"/>
        </w:rPr>
      </w:pPr>
      <w:r>
        <w:rPr>
          <w:rFonts w:cs="Times New Roman" w:hint="eastAsia"/>
          <w:sz w:val="21"/>
          <w:szCs w:val="21"/>
        </w:rPr>
        <w:t>公司根据实际生产经营特点针对应收款项坏账准备计提、固定资产折旧、无形资产摊销、长期待摊费用摊销、收入确认等交易或事项制定了具体会计政策和会计估计。</w:t>
      </w:r>
    </w:p>
    <w:p w:rsidR="00E22F4C" w:rsidRDefault="00381575">
      <w:pPr>
        <w:pStyle w:val="3"/>
        <w:spacing w:line="280" w:lineRule="exact"/>
        <w:jc w:val="left"/>
        <w:rPr>
          <w:rFonts w:ascii="宋体" w:hAnsi="宋体" w:cs="宋体"/>
          <w:b/>
          <w:bCs/>
        </w:rPr>
      </w:pPr>
      <w:bookmarkStart w:id="177" w:name="_Toc989066"/>
      <w:r>
        <w:rPr>
          <w:rFonts w:ascii="宋体" w:hAnsi="宋体" w:cs="宋体"/>
          <w:b/>
          <w:bCs/>
        </w:rPr>
        <w:t>1、遵循企业会计准则的声明</w:t>
      </w:r>
      <w:bookmarkEnd w:id="177"/>
    </w:p>
    <w:p w:rsidR="00E22F4C" w:rsidRDefault="00E22F4C">
      <w:pPr>
        <w:pStyle w:val="15"/>
        <w:spacing w:before="120" w:beforeAutospacing="0" w:line="440" w:lineRule="atLeast"/>
        <w:ind w:firstLine="420"/>
        <w:divId w:val="34426187"/>
        <w:rPr>
          <w:sz w:val="18"/>
          <w:szCs w:val="18"/>
        </w:rPr>
      </w:pPr>
      <w:r>
        <w:rPr>
          <w:rFonts w:hint="eastAsia"/>
          <w:sz w:val="21"/>
          <w:szCs w:val="21"/>
        </w:rPr>
        <w:t>公司承诺编制的</w:t>
      </w:r>
      <w:r>
        <w:rPr>
          <w:rFonts w:cs="Times New Roman" w:hint="eastAsia"/>
          <w:sz w:val="21"/>
          <w:szCs w:val="21"/>
        </w:rPr>
        <w:t>财务报表符合《企业会计准则》的要求，真实、完整地反映了本公司的财务状况、经营成果和现金流量等有关信息。</w:t>
      </w:r>
    </w:p>
    <w:p w:rsidR="00E22F4C" w:rsidRDefault="00381575">
      <w:pPr>
        <w:pStyle w:val="3"/>
        <w:spacing w:line="280" w:lineRule="exact"/>
        <w:jc w:val="left"/>
        <w:rPr>
          <w:rFonts w:ascii="宋体" w:hAnsi="宋体" w:cs="宋体"/>
          <w:b/>
          <w:bCs/>
        </w:rPr>
      </w:pPr>
      <w:bookmarkStart w:id="178" w:name="_Toc989067"/>
      <w:r>
        <w:rPr>
          <w:rFonts w:ascii="宋体" w:hAnsi="宋体" w:cs="宋体"/>
          <w:b/>
          <w:bCs/>
        </w:rPr>
        <w:t>2、会计期间</w:t>
      </w:r>
      <w:bookmarkEnd w:id="178"/>
    </w:p>
    <w:p w:rsidR="00E22F4C" w:rsidRDefault="00E22F4C">
      <w:pPr>
        <w:pStyle w:val="a4"/>
        <w:spacing w:before="120" w:beforeAutospacing="0" w:after="0" w:afterAutospacing="0" w:line="440" w:lineRule="atLeast"/>
        <w:ind w:firstLine="420"/>
        <w:jc w:val="both"/>
        <w:divId w:val="819076901"/>
        <w:rPr>
          <w:sz w:val="21"/>
          <w:szCs w:val="21"/>
        </w:rPr>
      </w:pPr>
      <w:r>
        <w:rPr>
          <w:rFonts w:hint="eastAsia"/>
          <w:sz w:val="21"/>
          <w:szCs w:val="21"/>
        </w:rPr>
        <w:t>自公历每年</w:t>
      </w:r>
      <w:r>
        <w:rPr>
          <w:rFonts w:ascii="Times New Roman" w:hAnsi="Times New Roman" w:cs="Times New Roman"/>
          <w:sz w:val="21"/>
          <w:szCs w:val="21"/>
        </w:rPr>
        <w:t>1</w:t>
      </w:r>
      <w:r>
        <w:rPr>
          <w:rFonts w:hint="eastAsia"/>
          <w:sz w:val="21"/>
          <w:szCs w:val="21"/>
        </w:rPr>
        <w:t>月</w:t>
      </w:r>
      <w:r>
        <w:rPr>
          <w:rFonts w:ascii="Times New Roman" w:hAnsi="Times New Roman" w:cs="Times New Roman"/>
          <w:sz w:val="21"/>
          <w:szCs w:val="21"/>
        </w:rPr>
        <w:t>1</w:t>
      </w:r>
      <w:r>
        <w:rPr>
          <w:rFonts w:hint="eastAsia"/>
          <w:sz w:val="21"/>
          <w:szCs w:val="21"/>
        </w:rPr>
        <w:t>日至</w:t>
      </w:r>
      <w:r>
        <w:rPr>
          <w:rFonts w:ascii="Times New Roman" w:hAnsi="Times New Roman" w:cs="Times New Roman"/>
          <w:sz w:val="21"/>
          <w:szCs w:val="21"/>
        </w:rPr>
        <w:t>12</w:t>
      </w:r>
      <w:r>
        <w:rPr>
          <w:rFonts w:hint="eastAsia"/>
          <w:sz w:val="21"/>
          <w:szCs w:val="21"/>
        </w:rPr>
        <w:t>月</w:t>
      </w:r>
      <w:r>
        <w:rPr>
          <w:rFonts w:ascii="Times New Roman" w:hAnsi="Times New Roman" w:cs="Times New Roman"/>
          <w:sz w:val="21"/>
          <w:szCs w:val="21"/>
        </w:rPr>
        <w:t>31</w:t>
      </w:r>
      <w:r>
        <w:rPr>
          <w:rFonts w:hint="eastAsia"/>
          <w:sz w:val="21"/>
          <w:szCs w:val="21"/>
        </w:rPr>
        <w:t>日止。</w:t>
      </w:r>
    </w:p>
    <w:p w:rsidR="00E22F4C" w:rsidRDefault="00381575">
      <w:pPr>
        <w:pStyle w:val="3"/>
        <w:spacing w:line="280" w:lineRule="exact"/>
        <w:jc w:val="left"/>
        <w:rPr>
          <w:rFonts w:ascii="宋体" w:hAnsi="宋体" w:cs="宋体"/>
          <w:b/>
          <w:bCs/>
        </w:rPr>
      </w:pPr>
      <w:bookmarkStart w:id="179" w:name="_Toc989068"/>
      <w:r>
        <w:rPr>
          <w:rFonts w:ascii="宋体" w:hAnsi="宋体" w:cs="宋体"/>
          <w:b/>
          <w:bCs/>
        </w:rPr>
        <w:lastRenderedPageBreak/>
        <w:t>3、营业周期</w:t>
      </w:r>
      <w:bookmarkEnd w:id="179"/>
    </w:p>
    <w:p w:rsidR="00E22F4C" w:rsidRDefault="00E22F4C">
      <w:pPr>
        <w:pStyle w:val="a4"/>
        <w:spacing w:before="120" w:beforeAutospacing="0" w:after="0" w:afterAutospacing="0" w:line="460" w:lineRule="atLeast"/>
        <w:ind w:firstLine="420"/>
        <w:jc w:val="both"/>
        <w:divId w:val="1590968701"/>
        <w:rPr>
          <w:rFonts w:ascii="Times New Roman" w:hAnsi="Times New Roman" w:cs="Times New Roman"/>
          <w:sz w:val="21"/>
          <w:szCs w:val="21"/>
        </w:rPr>
      </w:pPr>
      <w:r>
        <w:rPr>
          <w:rFonts w:cs="Times New Roman" w:hint="eastAsia"/>
          <w:sz w:val="21"/>
          <w:szCs w:val="21"/>
        </w:rPr>
        <w:t>本公司营业周期为</w:t>
      </w:r>
      <w:r>
        <w:rPr>
          <w:rFonts w:ascii="Times New Roman" w:hAnsi="Times New Roman" w:cs="Times New Roman"/>
          <w:sz w:val="21"/>
          <w:szCs w:val="21"/>
        </w:rPr>
        <w:t>12</w:t>
      </w:r>
      <w:r>
        <w:rPr>
          <w:rFonts w:cs="Times New Roman" w:hint="eastAsia"/>
          <w:sz w:val="21"/>
          <w:szCs w:val="21"/>
        </w:rPr>
        <w:t>个月。</w:t>
      </w:r>
    </w:p>
    <w:p w:rsidR="00E22F4C" w:rsidRDefault="00381575">
      <w:pPr>
        <w:pStyle w:val="3"/>
        <w:spacing w:line="280" w:lineRule="exact"/>
        <w:jc w:val="left"/>
        <w:rPr>
          <w:rFonts w:ascii="宋体" w:hAnsi="宋体" w:cs="宋体"/>
          <w:b/>
          <w:bCs/>
        </w:rPr>
      </w:pPr>
      <w:bookmarkStart w:id="180" w:name="_Toc989069"/>
      <w:r>
        <w:rPr>
          <w:rFonts w:ascii="宋体" w:hAnsi="宋体" w:cs="宋体"/>
          <w:b/>
          <w:bCs/>
        </w:rPr>
        <w:t>4、记账本位币</w:t>
      </w:r>
      <w:bookmarkEnd w:id="180"/>
    </w:p>
    <w:p w:rsidR="00E22F4C" w:rsidRDefault="00E22F4C">
      <w:pPr>
        <w:pStyle w:val="a4"/>
        <w:divId w:val="23332703"/>
        <w:rPr>
          <w:sz w:val="18"/>
          <w:szCs w:val="18"/>
        </w:rPr>
      </w:pPr>
      <w:r>
        <w:rPr>
          <w:rFonts w:hint="eastAsia"/>
          <w:sz w:val="21"/>
          <w:szCs w:val="21"/>
        </w:rPr>
        <w:t>  公司以人民币为记账本位币。</w:t>
      </w:r>
    </w:p>
    <w:p w:rsidR="00E22F4C" w:rsidRDefault="00381575">
      <w:pPr>
        <w:pStyle w:val="3"/>
        <w:spacing w:line="280" w:lineRule="exact"/>
        <w:jc w:val="left"/>
        <w:rPr>
          <w:rFonts w:ascii="宋体" w:hAnsi="宋体" w:cs="宋体"/>
          <w:b/>
          <w:bCs/>
        </w:rPr>
      </w:pPr>
      <w:bookmarkStart w:id="181" w:name="_Toc989070"/>
      <w:r>
        <w:rPr>
          <w:rFonts w:ascii="宋体" w:hAnsi="宋体" w:cs="宋体"/>
          <w:b/>
          <w:bCs/>
        </w:rPr>
        <w:t>5、同一控制下和非同一控制下企业合并的会计处理方法</w:t>
      </w:r>
      <w:bookmarkEnd w:id="181"/>
    </w:p>
    <w:p w:rsidR="00E22F4C" w:rsidRDefault="00E22F4C">
      <w:pPr>
        <w:pStyle w:val="a4"/>
        <w:spacing w:before="120" w:beforeAutospacing="0" w:after="0" w:afterAutospacing="0" w:line="440" w:lineRule="atLeast"/>
        <w:ind w:firstLine="424"/>
        <w:jc w:val="both"/>
        <w:divId w:val="167942847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）同一控制下的企业合并</w:t>
      </w:r>
    </w:p>
    <w:p w:rsidR="00E22F4C" w:rsidRDefault="00E22F4C">
      <w:pPr>
        <w:pStyle w:val="a4"/>
        <w:spacing w:before="120" w:beforeAutospacing="0" w:after="0" w:afterAutospacing="0" w:line="440" w:lineRule="atLeast"/>
        <w:ind w:firstLine="424"/>
        <w:jc w:val="both"/>
        <w:divId w:val="1679428478"/>
        <w:rPr>
          <w:rFonts w:ascii="Times New Roman" w:hAnsi="Times New Roman" w:cs="Times New Roman"/>
          <w:sz w:val="21"/>
          <w:szCs w:val="21"/>
        </w:rPr>
      </w:pPr>
      <w:r>
        <w:rPr>
          <w:rFonts w:cs="Times New Roman" w:hint="eastAsia"/>
          <w:sz w:val="21"/>
          <w:szCs w:val="21"/>
        </w:rPr>
        <w:t>对于同一控制下的企业合并，公司在企业合并中取得的资产和负债，按照合并日最终控制方合并财务报表中的账面价值计量。公司取得的净资产账面价值与支付的合并对价账面价值（或发行股份面值总额）的差额，调整资本公积；资本公积不足冲减的，调整留存收益。</w:t>
      </w:r>
    </w:p>
    <w:p w:rsidR="00E22F4C" w:rsidRDefault="00E22F4C">
      <w:pPr>
        <w:pStyle w:val="a4"/>
        <w:spacing w:before="120" w:beforeAutospacing="0" w:after="0" w:afterAutospacing="0" w:line="440" w:lineRule="atLeast"/>
        <w:ind w:firstLine="424"/>
        <w:jc w:val="both"/>
        <w:divId w:val="167942847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）非同一控制下的企业合并</w:t>
      </w:r>
    </w:p>
    <w:p w:rsidR="00E22F4C" w:rsidRDefault="00E22F4C">
      <w:pPr>
        <w:pStyle w:val="a4"/>
        <w:spacing w:before="0" w:beforeAutospacing="0" w:after="0" w:afterAutospacing="0"/>
        <w:jc w:val="both"/>
        <w:divId w:val="1679428478"/>
        <w:rPr>
          <w:rFonts w:ascii="Times New Roman" w:hAnsi="Times New Roman" w:cs="Times New Roman"/>
          <w:sz w:val="21"/>
          <w:szCs w:val="21"/>
        </w:rPr>
      </w:pPr>
      <w:r>
        <w:rPr>
          <w:rFonts w:cs="Times New Roman" w:hint="eastAsia"/>
          <w:sz w:val="21"/>
          <w:szCs w:val="21"/>
        </w:rPr>
        <w:t>对于非同一控制下的企业合并，合并成本为购买方在购买日为取得对被购买方的控制权而付出的资产、发生或承担的负债以及发行的权益性证券的公允价值。通过多次交换交易分步实现的企业合并，合并成本为每一单项交易成本之和。购买日是指公司实际取得对被购买方控制权的日期。公司对合并成本大于合并中取得的被购买方可辨认净资产公允价值份额的差额，确认为商誉。公司对合并成本小于合并中取得的被购买方可辨认净资产公允价值份额的，经复核后合并成本仍小于合并中取得的被购买方可辨认净资产公允价值份额的差额，计入当期损益。</w:t>
      </w:r>
    </w:p>
    <w:p w:rsidR="00E22F4C" w:rsidRDefault="00381575">
      <w:pPr>
        <w:pStyle w:val="3"/>
        <w:spacing w:line="280" w:lineRule="exact"/>
        <w:jc w:val="left"/>
        <w:rPr>
          <w:rFonts w:ascii="宋体" w:hAnsi="宋体" w:cs="宋体"/>
          <w:b/>
          <w:bCs/>
        </w:rPr>
      </w:pPr>
      <w:bookmarkStart w:id="182" w:name="_Toc989071"/>
      <w:r>
        <w:rPr>
          <w:rFonts w:ascii="宋体" w:hAnsi="宋体" w:cs="宋体"/>
          <w:b/>
          <w:bCs/>
        </w:rPr>
        <w:t>6、合并财务报表的编制方法</w:t>
      </w:r>
      <w:bookmarkEnd w:id="182"/>
    </w:p>
    <w:p w:rsidR="00E22F4C" w:rsidRDefault="00E22F4C">
      <w:pPr>
        <w:pStyle w:val="a4"/>
        <w:spacing w:before="120" w:beforeAutospacing="0" w:after="0" w:afterAutospacing="0" w:line="440" w:lineRule="atLeast"/>
        <w:ind w:firstLine="424"/>
        <w:jc w:val="both"/>
        <w:divId w:val="1127088954"/>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）合并范围的确定原则</w:t>
      </w:r>
    </w:p>
    <w:p w:rsidR="00E22F4C" w:rsidRDefault="00E22F4C">
      <w:pPr>
        <w:pStyle w:val="a4"/>
        <w:spacing w:before="120" w:beforeAutospacing="0" w:after="0" w:afterAutospacing="0" w:line="440" w:lineRule="atLeast"/>
        <w:ind w:firstLine="424"/>
        <w:jc w:val="both"/>
        <w:divId w:val="1127088954"/>
        <w:rPr>
          <w:rFonts w:ascii="Times New Roman" w:hAnsi="Times New Roman" w:cs="Times New Roman"/>
          <w:sz w:val="21"/>
          <w:szCs w:val="21"/>
        </w:rPr>
      </w:pPr>
      <w:r>
        <w:rPr>
          <w:rFonts w:cs="Times New Roman" w:hint="eastAsia"/>
          <w:sz w:val="21"/>
          <w:szCs w:val="21"/>
        </w:rPr>
        <w:t>以控制为基础确定合并财务报表的合并范围，母公司控制的特殊目的主体也纳入合并财务报表的合并范围。如果母公司是投资性主体，且不存在为其投资活动提供相关服务的子公司，则不应编制合并财务报表。</w:t>
      </w:r>
    </w:p>
    <w:p w:rsidR="00E22F4C" w:rsidRDefault="00E22F4C">
      <w:pPr>
        <w:pStyle w:val="a4"/>
        <w:spacing w:before="120" w:beforeAutospacing="0" w:after="0" w:afterAutospacing="0" w:line="440" w:lineRule="atLeast"/>
        <w:ind w:firstLine="424"/>
        <w:jc w:val="both"/>
        <w:divId w:val="1127088954"/>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）合并报表采用的会计方法</w:t>
      </w:r>
    </w:p>
    <w:p w:rsidR="00E22F4C" w:rsidRDefault="00E22F4C">
      <w:pPr>
        <w:pStyle w:val="a4"/>
        <w:spacing w:before="120" w:beforeAutospacing="0" w:after="0" w:afterAutospacing="0" w:line="440" w:lineRule="atLeast"/>
        <w:ind w:firstLine="424"/>
        <w:jc w:val="both"/>
        <w:divId w:val="1127088954"/>
        <w:rPr>
          <w:rFonts w:ascii="Times New Roman" w:hAnsi="Times New Roman" w:cs="Times New Roman"/>
          <w:sz w:val="21"/>
          <w:szCs w:val="21"/>
        </w:rPr>
      </w:pPr>
      <w:r>
        <w:rPr>
          <w:rFonts w:cs="Times New Roman" w:hint="eastAsia"/>
          <w:sz w:val="21"/>
          <w:szCs w:val="21"/>
        </w:rPr>
        <w:t>编制合并报表时，在合并范围内所有重大内部交易和往来全部抵销的基础上逐项合并</w:t>
      </w:r>
      <w:r>
        <w:rPr>
          <w:rFonts w:ascii="Times New Roman" w:hAnsi="Times New Roman" w:cs="Times New Roman"/>
          <w:sz w:val="21"/>
          <w:szCs w:val="21"/>
        </w:rPr>
        <w:t>,</w:t>
      </w:r>
      <w:r>
        <w:rPr>
          <w:rFonts w:cs="Times New Roman" w:hint="eastAsia"/>
          <w:sz w:val="21"/>
          <w:szCs w:val="21"/>
        </w:rPr>
        <w:t>子公司的股东权益中不属于母公司所拥有的部分作为少数股东权益在合并财务报表中股东权益项下单独列示。</w:t>
      </w:r>
    </w:p>
    <w:p w:rsidR="00E22F4C" w:rsidRDefault="00E22F4C">
      <w:pPr>
        <w:pStyle w:val="a4"/>
        <w:spacing w:before="120" w:beforeAutospacing="0" w:after="0" w:afterAutospacing="0" w:line="440" w:lineRule="atLeast"/>
        <w:ind w:firstLine="424"/>
        <w:jc w:val="both"/>
        <w:divId w:val="1127088954"/>
        <w:rPr>
          <w:rFonts w:ascii="Times New Roman" w:hAnsi="Times New Roman" w:cs="Times New Roman"/>
          <w:sz w:val="21"/>
          <w:szCs w:val="21"/>
        </w:rPr>
      </w:pPr>
      <w:r>
        <w:rPr>
          <w:rFonts w:cs="Times New Roman" w:hint="eastAsia"/>
          <w:sz w:val="21"/>
          <w:szCs w:val="21"/>
        </w:rPr>
        <w:t>子公司与公司采用的会计政策或会计期间不一致的，在编制合并财务报表时，按照公司的会计政策或会计期间对子公司财务报表进行必要的调整。</w:t>
      </w:r>
    </w:p>
    <w:p w:rsidR="00E22F4C" w:rsidRDefault="00E22F4C">
      <w:pPr>
        <w:pStyle w:val="a4"/>
        <w:spacing w:before="120" w:beforeAutospacing="0" w:after="0" w:afterAutospacing="0" w:line="440" w:lineRule="atLeast"/>
        <w:ind w:firstLine="424"/>
        <w:jc w:val="both"/>
        <w:divId w:val="1127088954"/>
        <w:rPr>
          <w:rFonts w:ascii="Times New Roman" w:hAnsi="Times New Roman" w:cs="Times New Roman"/>
          <w:sz w:val="21"/>
          <w:szCs w:val="21"/>
        </w:rPr>
      </w:pPr>
      <w:r>
        <w:rPr>
          <w:rFonts w:cs="Times New Roman" w:hint="eastAsia"/>
          <w:sz w:val="21"/>
          <w:szCs w:val="21"/>
        </w:rPr>
        <w:lastRenderedPageBreak/>
        <w:t>对于非同一控制下企业合并取得的子公司，在编制合并财务报表时，以购买日可辨认净资产公允价值为基础对其个别财务报表进行调整；对于同一控制下企业合并取得的子公司，视同该公司合并于合并当期的年初已经发生，从合并当期的年初起将其资产、负债、经营成果和现金流量纳入合并财务报表。</w:t>
      </w:r>
    </w:p>
    <w:p w:rsidR="00E22F4C" w:rsidRDefault="00381575">
      <w:pPr>
        <w:pStyle w:val="3"/>
        <w:spacing w:line="280" w:lineRule="exact"/>
        <w:jc w:val="left"/>
        <w:rPr>
          <w:rFonts w:ascii="宋体" w:hAnsi="宋体" w:cs="宋体"/>
          <w:b/>
          <w:bCs/>
        </w:rPr>
      </w:pPr>
      <w:bookmarkStart w:id="183" w:name="_Toc989072"/>
      <w:r>
        <w:rPr>
          <w:rFonts w:ascii="宋体" w:hAnsi="宋体" w:cs="宋体"/>
          <w:b/>
          <w:bCs/>
        </w:rPr>
        <w:t>7、合营安排分类及共同经营会计处理方法</w:t>
      </w:r>
      <w:bookmarkEnd w:id="183"/>
    </w:p>
    <w:p w:rsidR="00E22F4C" w:rsidRDefault="00E22F4C">
      <w:pPr>
        <w:pStyle w:val="a4"/>
        <w:spacing w:before="120" w:beforeAutospacing="0" w:after="0" w:afterAutospacing="0" w:line="400" w:lineRule="atLeast"/>
        <w:ind w:firstLine="359"/>
        <w:jc w:val="both"/>
        <w:divId w:val="1357196855"/>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）合营安排是指一项由两个或两个以上的参与方共同控制的安排，分为共同经营和合营企业。</w:t>
      </w:r>
    </w:p>
    <w:p w:rsidR="00E22F4C" w:rsidRDefault="00E22F4C">
      <w:pPr>
        <w:pStyle w:val="a4"/>
        <w:spacing w:before="120" w:beforeAutospacing="0" w:after="0" w:afterAutospacing="0" w:line="400" w:lineRule="atLeast"/>
        <w:ind w:firstLine="359"/>
        <w:jc w:val="both"/>
        <w:divId w:val="1357196855"/>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）当公司为共同经营的合营方时，确认与共同经营利益份额相关的下列项目：</w:t>
      </w:r>
    </w:p>
    <w:p w:rsidR="00E22F4C" w:rsidRDefault="00E22F4C">
      <w:pPr>
        <w:pStyle w:val="a4"/>
        <w:spacing w:before="120" w:beforeAutospacing="0" w:after="0" w:afterAutospacing="0" w:line="400" w:lineRule="atLeast"/>
        <w:ind w:firstLine="359"/>
        <w:jc w:val="both"/>
        <w:divId w:val="1357196855"/>
        <w:rPr>
          <w:rFonts w:ascii="Times New Roman" w:hAnsi="Times New Roman" w:cs="Times New Roman"/>
          <w:sz w:val="21"/>
          <w:szCs w:val="21"/>
        </w:rPr>
      </w:pPr>
      <w:r>
        <w:rPr>
          <w:rFonts w:ascii="Times New Roman" w:hAnsi="Times New Roman" w:cs="Times New Roman"/>
          <w:sz w:val="21"/>
          <w:szCs w:val="21"/>
        </w:rPr>
        <w:t xml:space="preserve">A. </w:t>
      </w:r>
      <w:r>
        <w:rPr>
          <w:rFonts w:cs="Times New Roman" w:hint="eastAsia"/>
          <w:sz w:val="21"/>
          <w:szCs w:val="21"/>
        </w:rPr>
        <w:t>确认单独所持有的资产，以及按持有份额确认共同持有的资产；</w:t>
      </w:r>
    </w:p>
    <w:p w:rsidR="00E22F4C" w:rsidRDefault="00E22F4C">
      <w:pPr>
        <w:pStyle w:val="a4"/>
        <w:spacing w:before="120" w:beforeAutospacing="0" w:after="0" w:afterAutospacing="0" w:line="400" w:lineRule="atLeast"/>
        <w:ind w:firstLine="359"/>
        <w:jc w:val="both"/>
        <w:divId w:val="1357196855"/>
        <w:rPr>
          <w:rFonts w:ascii="Times New Roman" w:hAnsi="Times New Roman" w:cs="Times New Roman"/>
          <w:sz w:val="21"/>
          <w:szCs w:val="21"/>
        </w:rPr>
      </w:pPr>
      <w:r>
        <w:rPr>
          <w:rFonts w:ascii="Times New Roman" w:hAnsi="Times New Roman" w:cs="Times New Roman"/>
          <w:sz w:val="21"/>
          <w:szCs w:val="21"/>
        </w:rPr>
        <w:t xml:space="preserve">B. </w:t>
      </w:r>
      <w:r>
        <w:rPr>
          <w:rFonts w:cs="Times New Roman" w:hint="eastAsia"/>
          <w:sz w:val="21"/>
          <w:szCs w:val="21"/>
        </w:rPr>
        <w:t>确认单独所承担的负债，以及按持有份额确认共同承担的负债；</w:t>
      </w:r>
    </w:p>
    <w:p w:rsidR="00E22F4C" w:rsidRDefault="00E22F4C">
      <w:pPr>
        <w:pStyle w:val="a4"/>
        <w:spacing w:before="120" w:beforeAutospacing="0" w:after="0" w:afterAutospacing="0" w:line="400" w:lineRule="atLeast"/>
        <w:ind w:firstLine="359"/>
        <w:jc w:val="both"/>
        <w:divId w:val="1357196855"/>
        <w:rPr>
          <w:rFonts w:ascii="Times New Roman" w:hAnsi="Times New Roman" w:cs="Times New Roman"/>
          <w:sz w:val="21"/>
          <w:szCs w:val="21"/>
        </w:rPr>
      </w:pPr>
      <w:r>
        <w:rPr>
          <w:rFonts w:ascii="Times New Roman" w:hAnsi="Times New Roman" w:cs="Times New Roman"/>
          <w:sz w:val="21"/>
          <w:szCs w:val="21"/>
        </w:rPr>
        <w:t xml:space="preserve">C. </w:t>
      </w:r>
      <w:r>
        <w:rPr>
          <w:rFonts w:cs="Times New Roman" w:hint="eastAsia"/>
          <w:sz w:val="21"/>
          <w:szCs w:val="21"/>
        </w:rPr>
        <w:t>确认出售公司享有的共同经营产出份额所产生的收入；</w:t>
      </w:r>
    </w:p>
    <w:p w:rsidR="00E22F4C" w:rsidRDefault="00E22F4C">
      <w:pPr>
        <w:pStyle w:val="a4"/>
        <w:spacing w:before="120" w:beforeAutospacing="0" w:after="0" w:afterAutospacing="0" w:line="400" w:lineRule="atLeast"/>
        <w:ind w:firstLine="359"/>
        <w:jc w:val="both"/>
        <w:divId w:val="1357196855"/>
        <w:rPr>
          <w:rFonts w:ascii="Times New Roman" w:hAnsi="Times New Roman" w:cs="Times New Roman"/>
          <w:sz w:val="21"/>
          <w:szCs w:val="21"/>
        </w:rPr>
      </w:pPr>
      <w:r>
        <w:rPr>
          <w:rFonts w:ascii="Times New Roman" w:hAnsi="Times New Roman" w:cs="Times New Roman"/>
          <w:sz w:val="21"/>
          <w:szCs w:val="21"/>
        </w:rPr>
        <w:t xml:space="preserve">D. </w:t>
      </w:r>
      <w:r>
        <w:rPr>
          <w:rFonts w:cs="Times New Roman" w:hint="eastAsia"/>
          <w:sz w:val="21"/>
          <w:szCs w:val="21"/>
        </w:rPr>
        <w:t>按公司持有份额确认共同经营因出售资产所产生的收入；</w:t>
      </w:r>
    </w:p>
    <w:p w:rsidR="00E22F4C" w:rsidRDefault="00E22F4C">
      <w:pPr>
        <w:pStyle w:val="a4"/>
        <w:spacing w:before="120" w:beforeAutospacing="0" w:after="0" w:afterAutospacing="0" w:line="400" w:lineRule="atLeast"/>
        <w:ind w:firstLine="359"/>
        <w:jc w:val="both"/>
        <w:divId w:val="1357196855"/>
        <w:rPr>
          <w:rFonts w:ascii="Times New Roman" w:hAnsi="Times New Roman" w:cs="Times New Roman"/>
          <w:sz w:val="21"/>
          <w:szCs w:val="21"/>
        </w:rPr>
      </w:pPr>
      <w:r>
        <w:rPr>
          <w:rFonts w:ascii="Times New Roman" w:hAnsi="Times New Roman" w:cs="Times New Roman"/>
          <w:sz w:val="21"/>
          <w:szCs w:val="21"/>
        </w:rPr>
        <w:t xml:space="preserve">E. </w:t>
      </w:r>
      <w:r>
        <w:rPr>
          <w:rFonts w:cs="Times New Roman" w:hint="eastAsia"/>
          <w:sz w:val="21"/>
          <w:szCs w:val="21"/>
        </w:rPr>
        <w:t>确认单独所发生的费用，以及按公司持有份额确认共同经营发生的费用。</w:t>
      </w:r>
    </w:p>
    <w:p w:rsidR="00E22F4C" w:rsidRDefault="00E22F4C">
      <w:pPr>
        <w:pStyle w:val="a4"/>
        <w:spacing w:before="0" w:beforeAutospacing="0" w:after="0" w:afterAutospacing="0"/>
        <w:jc w:val="both"/>
        <w:divId w:val="1357196855"/>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）当公司为合营企业的合营方时，将对合营企业的投资确认为长期股权投资，并按照本财务报表附注长期股权投资所述方法进行核算。</w:t>
      </w:r>
    </w:p>
    <w:p w:rsidR="00E22F4C" w:rsidRDefault="00381575">
      <w:pPr>
        <w:pStyle w:val="3"/>
        <w:spacing w:line="280" w:lineRule="exact"/>
        <w:jc w:val="left"/>
        <w:rPr>
          <w:rFonts w:ascii="宋体" w:hAnsi="宋体" w:cs="宋体"/>
          <w:b/>
          <w:bCs/>
        </w:rPr>
      </w:pPr>
      <w:bookmarkStart w:id="184" w:name="_Toc989073"/>
      <w:r>
        <w:rPr>
          <w:rFonts w:ascii="宋体" w:hAnsi="宋体" w:cs="宋体"/>
          <w:b/>
          <w:bCs/>
        </w:rPr>
        <w:t>8、现金及现金等价物的确定标准</w:t>
      </w:r>
      <w:bookmarkEnd w:id="184"/>
    </w:p>
    <w:p w:rsidR="00E22F4C" w:rsidRDefault="00E22F4C">
      <w:pPr>
        <w:pStyle w:val="a4"/>
        <w:spacing w:before="120" w:beforeAutospacing="0" w:after="0" w:afterAutospacing="0" w:line="440" w:lineRule="atLeast"/>
        <w:ind w:right="102" w:firstLine="424"/>
        <w:jc w:val="both"/>
        <w:divId w:val="180357922"/>
        <w:rPr>
          <w:rFonts w:ascii="Times New Roman" w:hAnsi="Times New Roman" w:cs="Times New Roman"/>
          <w:sz w:val="21"/>
          <w:szCs w:val="21"/>
        </w:rPr>
      </w:pPr>
      <w:r>
        <w:rPr>
          <w:rFonts w:cs="Times New Roman" w:hint="eastAsia"/>
          <w:sz w:val="21"/>
          <w:szCs w:val="21"/>
        </w:rPr>
        <w:t>公司根据《企业会计准则</w:t>
      </w:r>
      <w:r>
        <w:rPr>
          <w:rFonts w:ascii="Times New Roman" w:hAnsi="Times New Roman" w:cs="Times New Roman"/>
          <w:sz w:val="21"/>
          <w:szCs w:val="21"/>
        </w:rPr>
        <w:t>——</w:t>
      </w:r>
      <w:r>
        <w:rPr>
          <w:rFonts w:cs="Times New Roman" w:hint="eastAsia"/>
          <w:sz w:val="21"/>
          <w:szCs w:val="21"/>
        </w:rPr>
        <w:t>现金流量表》的规定，对持有时间短（一般不超过</w:t>
      </w:r>
      <w:r>
        <w:rPr>
          <w:rFonts w:ascii="Times New Roman" w:hAnsi="Times New Roman" w:cs="Times New Roman"/>
          <w:sz w:val="21"/>
          <w:szCs w:val="21"/>
        </w:rPr>
        <w:t>3</w:t>
      </w:r>
      <w:r>
        <w:rPr>
          <w:rFonts w:cs="Times New Roman" w:hint="eastAsia"/>
          <w:sz w:val="21"/>
          <w:szCs w:val="21"/>
        </w:rPr>
        <w:t>个月）、流动性强、易于转换为已知金额现金、价值变动风险很小的投资，确认为现金等价物。</w:t>
      </w:r>
    </w:p>
    <w:p w:rsidR="00E22F4C" w:rsidRDefault="00381575">
      <w:pPr>
        <w:pStyle w:val="3"/>
        <w:spacing w:line="280" w:lineRule="exact"/>
        <w:jc w:val="left"/>
        <w:rPr>
          <w:rFonts w:ascii="宋体" w:hAnsi="宋体" w:cs="宋体"/>
          <w:b/>
          <w:bCs/>
        </w:rPr>
      </w:pPr>
      <w:bookmarkStart w:id="185" w:name="_Toc989074"/>
      <w:r>
        <w:rPr>
          <w:rFonts w:ascii="宋体" w:hAnsi="宋体" w:cs="宋体"/>
          <w:b/>
          <w:bCs/>
        </w:rPr>
        <w:t>9、外币业务和外币报表折算</w:t>
      </w:r>
      <w:bookmarkEnd w:id="185"/>
    </w:p>
    <w:p w:rsidR="00E22F4C" w:rsidRDefault="00E22F4C">
      <w:pPr>
        <w:pStyle w:val="a4"/>
        <w:spacing w:before="120" w:beforeAutospacing="0" w:after="0" w:afterAutospacing="0" w:line="440" w:lineRule="atLeast"/>
        <w:ind w:right="102" w:firstLine="424"/>
        <w:jc w:val="both"/>
        <w:divId w:val="810363852"/>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）外币交易</w:t>
      </w:r>
    </w:p>
    <w:p w:rsidR="00E22F4C" w:rsidRDefault="00E22F4C">
      <w:pPr>
        <w:pStyle w:val="a4"/>
        <w:spacing w:before="120" w:beforeAutospacing="0" w:after="0" w:afterAutospacing="0" w:line="440" w:lineRule="atLeast"/>
        <w:ind w:right="102" w:firstLine="424"/>
        <w:jc w:val="both"/>
        <w:divId w:val="810363852"/>
        <w:rPr>
          <w:rFonts w:ascii="Times New Roman" w:hAnsi="Times New Roman" w:cs="Times New Roman"/>
          <w:sz w:val="21"/>
          <w:szCs w:val="21"/>
        </w:rPr>
      </w:pPr>
      <w:r>
        <w:rPr>
          <w:rFonts w:cs="Times New Roman" w:hint="eastAsia"/>
          <w:sz w:val="21"/>
          <w:szCs w:val="21"/>
        </w:rPr>
        <w:t>对发生的非本位币经济业务公司按业务发生当日中国人民银行公布的市场汇价的中间价折合为本位币记账；月终对外币的货币项目余额按期末中国人民银行公布的市场汇价的中间价进行调整。按照期末汇率折合的记账本位币金额与账面记账本位币金额之间的差额作为“财务费用</w:t>
      </w:r>
      <w:r>
        <w:rPr>
          <w:rFonts w:ascii="Times New Roman" w:hAnsi="Times New Roman" w:cs="Times New Roman"/>
          <w:sz w:val="21"/>
          <w:szCs w:val="21"/>
        </w:rPr>
        <w:t>-</w:t>
      </w:r>
      <w:r>
        <w:rPr>
          <w:rFonts w:cs="Times New Roman" w:hint="eastAsia"/>
          <w:sz w:val="21"/>
          <w:szCs w:val="21"/>
        </w:rPr>
        <w:t>汇兑损益”计入当期损益；属于与购建固定资产有关的借款产生的汇兑损益，按照借款费用资本化的原则进行处理。</w:t>
      </w:r>
    </w:p>
    <w:p w:rsidR="00E22F4C" w:rsidRDefault="00E22F4C">
      <w:pPr>
        <w:pStyle w:val="a4"/>
        <w:spacing w:before="120" w:beforeAutospacing="0" w:after="0" w:afterAutospacing="0" w:line="440" w:lineRule="atLeast"/>
        <w:ind w:right="102" w:firstLine="424"/>
        <w:jc w:val="both"/>
        <w:divId w:val="810363852"/>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）外币财务报表的折算方法</w:t>
      </w:r>
    </w:p>
    <w:p w:rsidR="00E22F4C" w:rsidRDefault="00E22F4C">
      <w:pPr>
        <w:pStyle w:val="a4"/>
        <w:spacing w:before="120" w:beforeAutospacing="0" w:after="0" w:afterAutospacing="0" w:line="440" w:lineRule="atLeast"/>
        <w:ind w:right="102" w:firstLine="424"/>
        <w:jc w:val="both"/>
        <w:divId w:val="810363852"/>
        <w:rPr>
          <w:rFonts w:ascii="Times New Roman" w:hAnsi="Times New Roman" w:cs="Times New Roman"/>
          <w:sz w:val="21"/>
          <w:szCs w:val="21"/>
        </w:rPr>
      </w:pPr>
      <w:r>
        <w:rPr>
          <w:rFonts w:cs="Times New Roman" w:hint="eastAsia"/>
          <w:sz w:val="21"/>
          <w:szCs w:val="21"/>
        </w:rPr>
        <w:t>公司境外经营子公司、合营企业、联营企业和分支机构采用与公司不同的记账本位币，在将公司境外经营通过合并报表、权益法核算等纳入到公司的财务报表中时，需要将境外经营的财务报表折算为以公司记账本位币反映。在对其进行折算前，公司调整境外经营的会计期间和会计政策，使之与公</w:t>
      </w:r>
      <w:r>
        <w:rPr>
          <w:rFonts w:cs="Times New Roman" w:hint="eastAsia"/>
          <w:sz w:val="21"/>
          <w:szCs w:val="21"/>
        </w:rPr>
        <w:lastRenderedPageBreak/>
        <w:t>司会计期间和会计政策相一致，根据调整后会计政策及会计期间编制相应货币的财务报表，再按照以下方法对境外经营财务报表进行折算：</w:t>
      </w:r>
    </w:p>
    <w:p w:rsidR="00E22F4C" w:rsidRDefault="00E22F4C" w:rsidP="00E22F4C">
      <w:pPr>
        <w:widowControl/>
        <w:numPr>
          <w:ilvl w:val="0"/>
          <w:numId w:val="1"/>
        </w:numPr>
        <w:spacing w:before="100" w:beforeAutospacing="1" w:after="100" w:afterAutospacing="1"/>
        <w:divId w:val="810363852"/>
        <w:rPr>
          <w:rFonts w:ascii="宋体" w:hAnsi="宋体" w:cs="宋体"/>
          <w:sz w:val="18"/>
          <w:szCs w:val="18"/>
        </w:rPr>
      </w:pPr>
      <w:r>
        <w:rPr>
          <w:rFonts w:cs="Times New Roman" w:hint="eastAsia"/>
          <w:szCs w:val="21"/>
        </w:rPr>
        <w:t>资产负债表中的资产和负债项目，采用资产负债表日的即期汇率折算，所有者权益项目除</w:t>
      </w:r>
      <w:r>
        <w:rPr>
          <w:rFonts w:hint="eastAsia"/>
          <w:szCs w:val="21"/>
        </w:rPr>
        <w:t>“</w:t>
      </w:r>
      <w:r>
        <w:rPr>
          <w:rFonts w:cs="Times New Roman" w:hint="eastAsia"/>
          <w:szCs w:val="21"/>
        </w:rPr>
        <w:t>未分配利润</w:t>
      </w:r>
      <w:r>
        <w:rPr>
          <w:rFonts w:hint="eastAsia"/>
          <w:szCs w:val="21"/>
        </w:rPr>
        <w:t>”</w:t>
      </w:r>
      <w:r>
        <w:rPr>
          <w:rFonts w:cs="Times New Roman" w:hint="eastAsia"/>
          <w:szCs w:val="21"/>
        </w:rPr>
        <w:t>项目外，其他项目采用发生时的即期汇率折算。</w:t>
      </w:r>
    </w:p>
    <w:p w:rsidR="00E22F4C" w:rsidRDefault="00E22F4C" w:rsidP="00E22F4C">
      <w:pPr>
        <w:widowControl/>
        <w:numPr>
          <w:ilvl w:val="0"/>
          <w:numId w:val="1"/>
        </w:numPr>
        <w:spacing w:before="100" w:beforeAutospacing="1" w:after="100" w:afterAutospacing="1"/>
        <w:divId w:val="810363852"/>
        <w:rPr>
          <w:sz w:val="18"/>
          <w:szCs w:val="18"/>
        </w:rPr>
      </w:pPr>
      <w:r>
        <w:rPr>
          <w:rFonts w:cs="Times New Roman" w:hint="eastAsia"/>
          <w:szCs w:val="21"/>
        </w:rPr>
        <w:t>利润表中的收入和费用项目，采用交易发生日的即期汇率或即期汇率的近似汇率折算。</w:t>
      </w:r>
    </w:p>
    <w:p w:rsidR="00E22F4C" w:rsidRDefault="00E22F4C" w:rsidP="00E22F4C">
      <w:pPr>
        <w:widowControl/>
        <w:numPr>
          <w:ilvl w:val="0"/>
          <w:numId w:val="1"/>
        </w:numPr>
        <w:spacing w:before="100" w:beforeAutospacing="1" w:after="100" w:afterAutospacing="1"/>
        <w:divId w:val="810363852"/>
        <w:rPr>
          <w:sz w:val="18"/>
          <w:szCs w:val="18"/>
        </w:rPr>
      </w:pPr>
      <w:r>
        <w:rPr>
          <w:rFonts w:cs="Times New Roman" w:hint="eastAsia"/>
          <w:szCs w:val="21"/>
        </w:rPr>
        <w:t>产生的外币财务报表折算差额，在编制合并财务报表时，在合并资产负债表中所有者权益项目下在</w:t>
      </w:r>
      <w:r>
        <w:rPr>
          <w:rFonts w:hint="eastAsia"/>
          <w:szCs w:val="21"/>
        </w:rPr>
        <w:t>“</w:t>
      </w:r>
      <w:r>
        <w:rPr>
          <w:rFonts w:cs="Times New Roman" w:hint="eastAsia"/>
          <w:szCs w:val="21"/>
        </w:rPr>
        <w:t>其他综合收益</w:t>
      </w:r>
      <w:r>
        <w:rPr>
          <w:rFonts w:hint="eastAsia"/>
          <w:szCs w:val="21"/>
        </w:rPr>
        <w:t>”</w:t>
      </w:r>
      <w:r>
        <w:rPr>
          <w:rFonts w:cs="Times New Roman" w:hint="eastAsia"/>
          <w:szCs w:val="21"/>
        </w:rPr>
        <w:t>项目列示。</w:t>
      </w:r>
    </w:p>
    <w:p w:rsidR="00E22F4C" w:rsidRDefault="00381575">
      <w:pPr>
        <w:pStyle w:val="3"/>
        <w:spacing w:line="280" w:lineRule="exact"/>
        <w:jc w:val="left"/>
        <w:rPr>
          <w:rFonts w:ascii="宋体" w:hAnsi="宋体" w:cs="宋体"/>
          <w:b/>
          <w:bCs/>
        </w:rPr>
      </w:pPr>
      <w:bookmarkStart w:id="186" w:name="_Toc989075"/>
      <w:r>
        <w:rPr>
          <w:rFonts w:ascii="宋体" w:hAnsi="宋体" w:cs="宋体"/>
          <w:b/>
          <w:bCs/>
        </w:rPr>
        <w:t>10、金融工具</w:t>
      </w:r>
      <w:bookmarkEnd w:id="186"/>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金融工具，是指形成一方的金融资产并形成其他方的金融负债或权益工具的合同。当本集团成为金融工具合同的一方时，确认相关的金融资产或金融负债。</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）金融资产</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分类和计量：根据管理金融资产的业务模式和金融资产的合同现金流量特征，将金融资产划分为：</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、以摊余成本计量的金融资产；</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、以公允价值计量且其变动计入其他综合收益的金融资产；</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、以公允价值计量且其变动计入当期损益的金融资产。</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按照预期有权收取的对价金额作为初始确认金额。</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）债务工具</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持有的债务工具是指从发行方角度分析符合金融负债定义的工具，分别采用以下三种方式进行计量：</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以摊余成本计量：管理此类金融资产的业务模式为以收取合同现金流量为目标，且此类金融资产的合同现金流量特征与基本借贷安排相一致，即在特定日期产生的现金流量，仅为对本金和以未偿付本金金额为基础的利息的支付。对于此类金融资产按照实际利率法确认利息收入。此类金融资产主要包括货币资金、应收票据、应收账款、其他应收款和债权投资等。将自资产负债表日起一年内</w:t>
      </w:r>
      <w:r>
        <w:rPr>
          <w:rFonts w:ascii="Times New Roman" w:hAnsi="Times New Roman" w:cs="Times New Roman"/>
          <w:sz w:val="21"/>
          <w:szCs w:val="21"/>
        </w:rPr>
        <w:t>(</w:t>
      </w:r>
      <w:r>
        <w:rPr>
          <w:rFonts w:cs="Times New Roman" w:hint="eastAsia"/>
          <w:sz w:val="21"/>
          <w:szCs w:val="21"/>
        </w:rPr>
        <w:t>含一年</w:t>
      </w:r>
      <w:r>
        <w:rPr>
          <w:rFonts w:ascii="Times New Roman" w:hAnsi="Times New Roman" w:cs="Times New Roman"/>
          <w:sz w:val="21"/>
          <w:szCs w:val="21"/>
        </w:rPr>
        <w:t>)</w:t>
      </w:r>
      <w:r>
        <w:rPr>
          <w:rFonts w:cs="Times New Roman" w:hint="eastAsia"/>
          <w:sz w:val="21"/>
          <w:szCs w:val="21"/>
        </w:rPr>
        <w:t>到期的债权投资，列示为一年内到期的非流动资产；取得时期限在一年内</w:t>
      </w:r>
      <w:r>
        <w:rPr>
          <w:rFonts w:ascii="Times New Roman" w:hAnsi="Times New Roman" w:cs="Times New Roman"/>
          <w:sz w:val="21"/>
          <w:szCs w:val="21"/>
        </w:rPr>
        <w:t>(</w:t>
      </w:r>
      <w:r>
        <w:rPr>
          <w:rFonts w:cs="Times New Roman" w:hint="eastAsia"/>
          <w:sz w:val="21"/>
          <w:szCs w:val="21"/>
        </w:rPr>
        <w:t>含一年</w:t>
      </w:r>
      <w:r>
        <w:rPr>
          <w:rFonts w:ascii="Times New Roman" w:hAnsi="Times New Roman" w:cs="Times New Roman"/>
          <w:sz w:val="21"/>
          <w:szCs w:val="21"/>
        </w:rPr>
        <w:t>)</w:t>
      </w:r>
      <w:r>
        <w:rPr>
          <w:rFonts w:cs="Times New Roman" w:hint="eastAsia"/>
          <w:sz w:val="21"/>
          <w:szCs w:val="21"/>
        </w:rPr>
        <w:t>的债权投资列示为其他流动资产。</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lastRenderedPageBreak/>
        <w:t>B</w:t>
      </w:r>
      <w:r>
        <w:rPr>
          <w:rFonts w:cs="Times New Roman" w:hint="eastAsia"/>
          <w:sz w:val="21"/>
          <w:szCs w:val="21"/>
        </w:rPr>
        <w:t>、以公允价值计量且其变动计入其他综合收益：管理此类金融资产的业务模式为既以收取合同现金流量为目标又以出售为目标，且此类金融资产的合同现金流量特征与基本借贷安排相一致。此类金融资产按照公允价值计量且其变动计入其他综合收益，但减值损失或利得、汇兑损益和按照实际利率法计算的利息收入计入当期损益。此类金融资产主要包括应收款项融资、其他债权投资等。公司将自资产负债表日起一年内</w:t>
      </w:r>
      <w:r>
        <w:rPr>
          <w:rFonts w:ascii="Times New Roman" w:hAnsi="Times New Roman" w:cs="Times New Roman"/>
          <w:sz w:val="21"/>
          <w:szCs w:val="21"/>
        </w:rPr>
        <w:t>(</w:t>
      </w:r>
      <w:r>
        <w:rPr>
          <w:rFonts w:cs="Times New Roman" w:hint="eastAsia"/>
          <w:sz w:val="21"/>
          <w:szCs w:val="21"/>
        </w:rPr>
        <w:t>含一年</w:t>
      </w:r>
      <w:r>
        <w:rPr>
          <w:rFonts w:ascii="Times New Roman" w:hAnsi="Times New Roman" w:cs="Times New Roman"/>
          <w:sz w:val="21"/>
          <w:szCs w:val="21"/>
        </w:rPr>
        <w:t>)</w:t>
      </w:r>
      <w:r>
        <w:rPr>
          <w:rFonts w:cs="Times New Roman" w:hint="eastAsia"/>
          <w:sz w:val="21"/>
          <w:szCs w:val="21"/>
        </w:rPr>
        <w:t>到期的其他债权投资，列示为一年内到期的非流动资产；取得时期限在一年内</w:t>
      </w:r>
      <w:r>
        <w:rPr>
          <w:rFonts w:ascii="Times New Roman" w:hAnsi="Times New Roman" w:cs="Times New Roman"/>
          <w:sz w:val="21"/>
          <w:szCs w:val="21"/>
        </w:rPr>
        <w:t>(</w:t>
      </w:r>
      <w:r>
        <w:rPr>
          <w:rFonts w:cs="Times New Roman" w:hint="eastAsia"/>
          <w:sz w:val="21"/>
          <w:szCs w:val="21"/>
        </w:rPr>
        <w:t>含一年</w:t>
      </w:r>
      <w:r>
        <w:rPr>
          <w:rFonts w:ascii="Times New Roman" w:hAnsi="Times New Roman" w:cs="Times New Roman"/>
          <w:sz w:val="21"/>
          <w:szCs w:val="21"/>
        </w:rPr>
        <w:t>)</w:t>
      </w:r>
      <w:r>
        <w:rPr>
          <w:rFonts w:cs="Times New Roman" w:hint="eastAsia"/>
          <w:sz w:val="21"/>
          <w:szCs w:val="21"/>
        </w:rPr>
        <w:t>的其他债权投资列示为其他流动资产。</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以公允价值计量且其变动计入当期损益：将持有的未划分为以摊余成本计量和以公允价值计量且其变动计入其他综合收益的债务工具，以公允价值计量且其变动计入当期损益，列示为交易性金融资产。在初始确认时，为了消除或显著减少会计错配，将部分金融资产指定为以公允价值计量且其变动计入当期损益的金融资产。自资产负债表日起超过一年到期且预期持有超过一年的，列示为其他非流动金融资产。</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）权益工具</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将部分非交易性权益工具投资指定为以公允价值计量且其变动计入其他综合收益的金融资产，列示为其他权益工具投资。该类金融资产的相关股利收入计入当期损益。</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4</w:t>
      </w:r>
      <w:r>
        <w:rPr>
          <w:rFonts w:cs="Times New Roman" w:hint="eastAsia"/>
          <w:sz w:val="21"/>
          <w:szCs w:val="21"/>
        </w:rPr>
        <w:t>）减值</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对以摊余成本计量的金融资产、以公允价值计量且其变动计入其他综合收益的债务工具投资、租赁应收款，主要包括应收票据、应收账款、应收款项融资、其他应收款、债权投资、其他债权投资、长期应收款等，公司以预期信用损失为基础计提减值准备并确认信用减值损失。</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信用损失，是指公司按照原实际利率折现的、根据合同应收的所有合同现金流量与预期收取的所有现金流量之间的差额，即全部现金短缺的现值。其中，对于公司购买或源生的已发生信用减值的金融资产，应按照该金融资产经信用调整的实际利率折现。</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5</w:t>
      </w:r>
      <w:r>
        <w:rPr>
          <w:rFonts w:cs="Times New Roman" w:hint="eastAsia"/>
          <w:sz w:val="21"/>
          <w:szCs w:val="21"/>
        </w:rPr>
        <w:t>）预期信用损失计量的一般方法</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公司在每个资产负债表日评估金融资产（含合同资产等其他适用项目，下同）的信用风险自初始确认后是否已经显著增加，如果信用风险自初始确认后已显著增加，公司按照相当于整个存续期内预期信用损失的金额计量损失准备；如果信用风险自初始确认后未显著增加，公司按照相当于未来</w:t>
      </w:r>
      <w:r>
        <w:rPr>
          <w:rFonts w:ascii="Times New Roman" w:hAnsi="Times New Roman" w:cs="Times New Roman"/>
          <w:sz w:val="21"/>
          <w:szCs w:val="21"/>
        </w:rPr>
        <w:t>12</w:t>
      </w:r>
      <w:r>
        <w:rPr>
          <w:rFonts w:cs="Times New Roman" w:hint="eastAsia"/>
          <w:sz w:val="21"/>
          <w:szCs w:val="21"/>
        </w:rPr>
        <w:t>个月内预期信用损失的金额计量损失准备。公司在评估预期信用损失时，考虑所有合理且有依据的信息，包括前瞻性信息。</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对于在资产负债表日具有较低信用风险的金融工具，公司假设其信用风险自初始确认后并未显著增加，选择按照未来</w:t>
      </w:r>
      <w:r>
        <w:rPr>
          <w:rFonts w:ascii="Times New Roman" w:hAnsi="Times New Roman" w:cs="Times New Roman"/>
          <w:sz w:val="21"/>
          <w:szCs w:val="21"/>
        </w:rPr>
        <w:t>12</w:t>
      </w:r>
      <w:r>
        <w:rPr>
          <w:rFonts w:cs="Times New Roman" w:hint="eastAsia"/>
          <w:sz w:val="21"/>
          <w:szCs w:val="21"/>
        </w:rPr>
        <w:t>个月内的预期信用损失计量损失准备。</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lastRenderedPageBreak/>
        <w:t>（</w:t>
      </w:r>
      <w:r>
        <w:rPr>
          <w:rFonts w:ascii="Times New Roman" w:hAnsi="Times New Roman" w:cs="Times New Roman"/>
          <w:sz w:val="21"/>
          <w:szCs w:val="21"/>
        </w:rPr>
        <w:t>6</w:t>
      </w:r>
      <w:r>
        <w:rPr>
          <w:rFonts w:cs="Times New Roman" w:hint="eastAsia"/>
          <w:sz w:val="21"/>
          <w:szCs w:val="21"/>
        </w:rPr>
        <w:t>）信用风险自初始确认后是否显著增加的判断标准</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如果某项金融资产在资产负债表日确定的预计存续期内的违约概率显著高于在初始确认时确定的预计存续期内的违约概率，则表明该项金融资产的信用风险显著增加。除特殊情况外，公司采用未来</w:t>
      </w:r>
      <w:r>
        <w:rPr>
          <w:rFonts w:ascii="Times New Roman" w:hAnsi="Times New Roman" w:cs="Times New Roman"/>
          <w:sz w:val="21"/>
          <w:szCs w:val="21"/>
        </w:rPr>
        <w:t>12</w:t>
      </w:r>
      <w:r>
        <w:rPr>
          <w:rFonts w:cs="Times New Roman" w:hint="eastAsia"/>
          <w:sz w:val="21"/>
          <w:szCs w:val="21"/>
        </w:rPr>
        <w:t>个月内发生的违约风险的变化作为整个存续期内发生违约风险变化的合理估计，来确定自初始确认后信用风险是否显著增加。</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7</w:t>
      </w:r>
      <w:r>
        <w:rPr>
          <w:rFonts w:cs="Times New Roman" w:hint="eastAsia"/>
          <w:sz w:val="21"/>
          <w:szCs w:val="21"/>
        </w:rPr>
        <w:t>）以组合为基础评估预期信用风险的组合方法</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公司对于信用风险显著不同具备以下特征的应收票据、应收账款和其他应收款单项评价信用风险。如：应收关联方款项；与对方存在争议或涉及诉讼、仲裁的应收款项；已有明显迹象表明债务人很可能无法履行还款义务的应收票据和应收款项等。</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除了单项评估信用风险的金融资产外，公司基于共同风险特征将金融资产划分为不同的组别，在组合的基础上评估信用风险。</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8</w:t>
      </w:r>
      <w:r>
        <w:rPr>
          <w:rFonts w:cs="Times New Roman" w:hint="eastAsia"/>
          <w:sz w:val="21"/>
          <w:szCs w:val="21"/>
        </w:rPr>
        <w:t>）金融资产减值的会计处理方法</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年末，计算各类金融资产的预计信用损失，如果该预计信用损失大于其当前减值准备的账面金额，将其差额确认为减值损失；如果小于当前减值准备的账面金额，则将差额确认为减值利得。</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（9）终止确认</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金融资产满足下列条件之一的，予以终止确认：</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、收取该金融资产现金流量的合同权利终止；</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、该金融资产已转移，且本集团将金融资产所有权上几乎所有的风险和报酬转移给转入方；</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该金融资产已转移，虽然本集团既没有转移也没有保留金融资产所有权上几乎所有的风险和报酬，但是放弃了对该金融资产控制。其他权益工具投资终止确认时，其账面价值与收到的对价以及原直接计入其他综合收益的公允价值变动累计额之和的差额，计入留存收益；其余金融资产终止确认时，其账面价值与收到的对价以及原直接计入其他综合收益。</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10</w:t>
      </w:r>
      <w:r>
        <w:rPr>
          <w:rFonts w:cs="Times New Roman" w:hint="eastAsia"/>
          <w:sz w:val="21"/>
          <w:szCs w:val="21"/>
        </w:rPr>
        <w:t>）金融负债</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金融负债于初始确认时分类为以摊余成本计量的金融负债和以公允价值计量且其变动计入当期损益的金融负债。</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金融负债主要为以摊余成本计量的金融负债，包括应付票据及应付账款、其他应付款及借款等。该类金融负债按其公允价值扣除交易费用后的金额进行初始计量，并采用实际利率法进行后续计量。</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lastRenderedPageBreak/>
        <w:t>期限在一年以下</w:t>
      </w:r>
      <w:r>
        <w:rPr>
          <w:rFonts w:ascii="Times New Roman" w:hAnsi="Times New Roman" w:cs="Times New Roman"/>
          <w:sz w:val="21"/>
          <w:szCs w:val="21"/>
        </w:rPr>
        <w:t>(</w:t>
      </w:r>
      <w:r>
        <w:rPr>
          <w:rFonts w:cs="Times New Roman" w:hint="eastAsia"/>
          <w:sz w:val="21"/>
          <w:szCs w:val="21"/>
        </w:rPr>
        <w:t>含一年</w:t>
      </w:r>
      <w:r>
        <w:rPr>
          <w:rFonts w:ascii="Times New Roman" w:hAnsi="Times New Roman" w:cs="Times New Roman"/>
          <w:sz w:val="21"/>
          <w:szCs w:val="21"/>
        </w:rPr>
        <w:t>)</w:t>
      </w:r>
      <w:r>
        <w:rPr>
          <w:rFonts w:cs="Times New Roman" w:hint="eastAsia"/>
          <w:sz w:val="21"/>
          <w:szCs w:val="21"/>
        </w:rPr>
        <w:t>的，列示为流动负债；期限在一年以上但自资产负债表日起一年内</w:t>
      </w:r>
      <w:r>
        <w:rPr>
          <w:rFonts w:ascii="Times New Roman" w:hAnsi="Times New Roman" w:cs="Times New Roman"/>
          <w:sz w:val="21"/>
          <w:szCs w:val="21"/>
        </w:rPr>
        <w:t>(</w:t>
      </w:r>
      <w:r>
        <w:rPr>
          <w:rFonts w:cs="Times New Roman" w:hint="eastAsia"/>
          <w:sz w:val="21"/>
          <w:szCs w:val="21"/>
        </w:rPr>
        <w:t>含一年</w:t>
      </w:r>
      <w:r>
        <w:rPr>
          <w:rFonts w:ascii="Times New Roman" w:hAnsi="Times New Roman" w:cs="Times New Roman"/>
          <w:sz w:val="21"/>
          <w:szCs w:val="21"/>
        </w:rPr>
        <w:t>)</w:t>
      </w:r>
      <w:r>
        <w:rPr>
          <w:rFonts w:cs="Times New Roman" w:hint="eastAsia"/>
          <w:sz w:val="21"/>
          <w:szCs w:val="21"/>
        </w:rPr>
        <w:t>到期的，列示为一年内到期的非流动负债；其余列示为非流动负债。</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当金融负债的现时义务全部或部分已经解除时，本集团终止确认该金融负债或义务已解除的部分。终止确认部分的账面价值与支付的对价之间的差额，计入当期损益。</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11</w:t>
      </w:r>
      <w:r>
        <w:rPr>
          <w:rFonts w:cs="Times New Roman" w:hint="eastAsia"/>
          <w:sz w:val="21"/>
          <w:szCs w:val="21"/>
        </w:rPr>
        <w:t>）金融工具的公允价值确定</w:t>
      </w:r>
    </w:p>
    <w:p w:rsidR="00E22F4C" w:rsidRDefault="00E22F4C">
      <w:pPr>
        <w:pStyle w:val="a4"/>
        <w:spacing w:before="120" w:beforeAutospacing="0" w:after="0" w:afterAutospacing="0" w:line="440" w:lineRule="atLeast"/>
        <w:ind w:right="102" w:firstLine="424"/>
        <w:jc w:val="both"/>
        <w:divId w:val="214439287"/>
        <w:rPr>
          <w:rFonts w:ascii="Times New Roman" w:hAnsi="Times New Roman" w:cs="Times New Roman"/>
          <w:sz w:val="21"/>
          <w:szCs w:val="21"/>
        </w:rPr>
      </w:pPr>
      <w:r>
        <w:rPr>
          <w:rFonts w:cs="Times New Roman" w:hint="eastAsia"/>
          <w:sz w:val="21"/>
          <w:szCs w:val="21"/>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rsidR="00E22F4C" w:rsidRDefault="00381575">
      <w:pPr>
        <w:pStyle w:val="3"/>
        <w:spacing w:line="280" w:lineRule="exact"/>
        <w:jc w:val="left"/>
        <w:rPr>
          <w:rFonts w:ascii="宋体" w:hAnsi="宋体" w:cs="宋体"/>
          <w:b/>
          <w:bCs/>
        </w:rPr>
      </w:pPr>
      <w:bookmarkStart w:id="187" w:name="_Toc989076"/>
      <w:r>
        <w:rPr>
          <w:rFonts w:ascii="宋体" w:hAnsi="宋体" w:cs="宋体"/>
          <w:b/>
          <w:bCs/>
        </w:rPr>
        <w:t>11、应收票据</w:t>
      </w:r>
      <w:bookmarkEnd w:id="187"/>
    </w:p>
    <w:tbl>
      <w:tblPr>
        <w:tblW w:w="5000" w:type="pct"/>
        <w:jc w:val="center"/>
        <w:tblCellMar>
          <w:top w:w="15" w:type="dxa"/>
          <w:left w:w="15" w:type="dxa"/>
          <w:bottom w:w="15" w:type="dxa"/>
          <w:right w:w="15" w:type="dxa"/>
        </w:tblCellMar>
        <w:tblLook w:val="04A0"/>
      </w:tblPr>
      <w:tblGrid>
        <w:gridCol w:w="4073"/>
        <w:gridCol w:w="5780"/>
      </w:tblGrid>
      <w:tr w:rsidR="00E22F4C">
        <w:trPr>
          <w:divId w:val="291832344"/>
          <w:jc w:val="center"/>
        </w:trPr>
        <w:tc>
          <w:tcPr>
            <w:tcW w:w="20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center"/>
              <w:rPr>
                <w:rFonts w:ascii="Times New Roman" w:hAnsi="Times New Roman" w:cs="Times New Roman"/>
                <w:sz w:val="21"/>
                <w:szCs w:val="21"/>
              </w:rPr>
            </w:pPr>
            <w:r>
              <w:rPr>
                <w:rFonts w:cs="Times New Roman" w:hint="eastAsia"/>
                <w:sz w:val="21"/>
                <w:szCs w:val="21"/>
              </w:rPr>
              <w:t>组合</w:t>
            </w:r>
          </w:p>
        </w:tc>
        <w:tc>
          <w:tcPr>
            <w:tcW w:w="29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sz w:val="21"/>
                <w:szCs w:val="21"/>
              </w:rPr>
              <w:t>确定组合的依据</w:t>
            </w:r>
          </w:p>
        </w:tc>
      </w:tr>
      <w:tr w:rsidR="00E22F4C">
        <w:trPr>
          <w:divId w:val="291832344"/>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应收票据组合1</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both"/>
              <w:rPr>
                <w:rFonts w:ascii="Times New Roman" w:hAnsi="Times New Roman" w:cs="Times New Roman"/>
                <w:sz w:val="21"/>
                <w:szCs w:val="21"/>
              </w:rPr>
            </w:pPr>
            <w:r>
              <w:rPr>
                <w:rFonts w:cs="Times New Roman" w:hint="eastAsia"/>
                <w:sz w:val="21"/>
                <w:szCs w:val="21"/>
              </w:rPr>
              <w:t>银行承兑汇票</w:t>
            </w:r>
          </w:p>
        </w:tc>
      </w:tr>
      <w:tr w:rsidR="00E22F4C">
        <w:trPr>
          <w:divId w:val="291832344"/>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应收票据组合2</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both"/>
              <w:rPr>
                <w:rFonts w:ascii="Times New Roman" w:hAnsi="Times New Roman" w:cs="Times New Roman"/>
                <w:sz w:val="21"/>
                <w:szCs w:val="21"/>
              </w:rPr>
            </w:pPr>
            <w:r>
              <w:rPr>
                <w:rFonts w:cs="Times New Roman" w:hint="eastAsia"/>
                <w:sz w:val="21"/>
                <w:szCs w:val="21"/>
              </w:rPr>
              <w:t>商业承兑汇票</w:t>
            </w:r>
          </w:p>
        </w:tc>
      </w:tr>
    </w:tbl>
    <w:p w:rsidR="00E22F4C" w:rsidRDefault="00E22F4C">
      <w:pPr>
        <w:pStyle w:val="a4"/>
        <w:spacing w:before="120" w:beforeAutospacing="0" w:after="0" w:afterAutospacing="0" w:line="440" w:lineRule="atLeast"/>
        <w:ind w:right="102" w:firstLine="424"/>
        <w:jc w:val="both"/>
        <w:divId w:val="291832344"/>
        <w:rPr>
          <w:rFonts w:ascii="Times New Roman" w:hAnsi="Times New Roman" w:cs="Times New Roman"/>
          <w:sz w:val="21"/>
          <w:szCs w:val="21"/>
        </w:rPr>
      </w:pPr>
      <w:r>
        <w:rPr>
          <w:rFonts w:cs="Times New Roman" w:hint="eastAsia"/>
          <w:sz w:val="21"/>
          <w:szCs w:val="21"/>
        </w:rPr>
        <w:t>对于划分为组合的应收票据、应收款项融资，公司参考历史信用损失经验，结合当前状况以及对未来经济状况的预测，通过违约风险敞口和整个存续期预期信用损失率，计算预期信用损失。公司认为银行承兑汇票不存在重大的信用风险，不会因银行或其他出票人违约而产生重大损失，故预期信用损失率为零。</w:t>
      </w:r>
    </w:p>
    <w:p w:rsidR="00E22F4C" w:rsidRDefault="00381575">
      <w:pPr>
        <w:pStyle w:val="3"/>
        <w:spacing w:line="280" w:lineRule="exact"/>
        <w:jc w:val="left"/>
        <w:rPr>
          <w:rFonts w:ascii="宋体" w:hAnsi="宋体" w:cs="宋体"/>
          <w:b/>
          <w:bCs/>
        </w:rPr>
      </w:pPr>
      <w:bookmarkStart w:id="188" w:name="_Toc989077"/>
      <w:r>
        <w:rPr>
          <w:rFonts w:ascii="宋体" w:hAnsi="宋体" w:cs="宋体"/>
          <w:b/>
          <w:bCs/>
        </w:rPr>
        <w:t>12、应收账款</w:t>
      </w:r>
      <w:bookmarkEnd w:id="188"/>
    </w:p>
    <w:tbl>
      <w:tblPr>
        <w:tblW w:w="5000" w:type="pct"/>
        <w:jc w:val="center"/>
        <w:tblCellMar>
          <w:top w:w="15" w:type="dxa"/>
          <w:left w:w="15" w:type="dxa"/>
          <w:bottom w:w="15" w:type="dxa"/>
          <w:right w:w="15" w:type="dxa"/>
        </w:tblCellMar>
        <w:tblLook w:val="04A0"/>
      </w:tblPr>
      <w:tblGrid>
        <w:gridCol w:w="4073"/>
        <w:gridCol w:w="5780"/>
      </w:tblGrid>
      <w:tr w:rsidR="00E22F4C">
        <w:trPr>
          <w:divId w:val="1903758600"/>
          <w:jc w:val="center"/>
        </w:trPr>
        <w:tc>
          <w:tcPr>
            <w:tcW w:w="20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center"/>
              <w:rPr>
                <w:rFonts w:ascii="Times New Roman" w:hAnsi="Times New Roman" w:cs="Times New Roman"/>
                <w:sz w:val="21"/>
                <w:szCs w:val="21"/>
              </w:rPr>
            </w:pPr>
            <w:r>
              <w:rPr>
                <w:rFonts w:cs="Times New Roman" w:hint="eastAsia"/>
                <w:sz w:val="21"/>
                <w:szCs w:val="21"/>
              </w:rPr>
              <w:t>组合</w:t>
            </w:r>
          </w:p>
        </w:tc>
        <w:tc>
          <w:tcPr>
            <w:tcW w:w="29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sz w:val="21"/>
                <w:szCs w:val="21"/>
              </w:rPr>
              <w:t>确定组合的依据</w:t>
            </w:r>
          </w:p>
        </w:tc>
      </w:tr>
      <w:tr w:rsidR="00E22F4C">
        <w:trPr>
          <w:divId w:val="1903758600"/>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应收账款组合1</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both"/>
              <w:rPr>
                <w:rFonts w:ascii="Times New Roman" w:hAnsi="Times New Roman" w:cs="Times New Roman"/>
                <w:sz w:val="21"/>
                <w:szCs w:val="21"/>
              </w:rPr>
            </w:pPr>
            <w:r>
              <w:rPr>
                <w:rFonts w:cs="Times New Roman" w:hint="eastAsia"/>
                <w:sz w:val="21"/>
                <w:szCs w:val="21"/>
              </w:rPr>
              <w:t>应收直销客户</w:t>
            </w:r>
          </w:p>
        </w:tc>
      </w:tr>
      <w:tr w:rsidR="00E22F4C">
        <w:trPr>
          <w:divId w:val="1903758600"/>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应收账款组合2</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both"/>
              <w:rPr>
                <w:rFonts w:ascii="Times New Roman" w:hAnsi="Times New Roman" w:cs="Times New Roman"/>
                <w:sz w:val="21"/>
                <w:szCs w:val="21"/>
              </w:rPr>
            </w:pPr>
            <w:r>
              <w:rPr>
                <w:rFonts w:cs="Times New Roman" w:hint="eastAsia"/>
                <w:sz w:val="21"/>
                <w:szCs w:val="21"/>
              </w:rPr>
              <w:t>应收经销客户</w:t>
            </w:r>
          </w:p>
        </w:tc>
      </w:tr>
      <w:tr w:rsidR="00E22F4C">
        <w:trPr>
          <w:divId w:val="1903758600"/>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应收账款组合3</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both"/>
              <w:rPr>
                <w:rFonts w:ascii="Times New Roman" w:hAnsi="Times New Roman" w:cs="Times New Roman"/>
                <w:sz w:val="21"/>
                <w:szCs w:val="21"/>
              </w:rPr>
            </w:pPr>
            <w:r>
              <w:rPr>
                <w:rFonts w:cs="Times New Roman" w:hint="eastAsia"/>
                <w:sz w:val="21"/>
                <w:szCs w:val="21"/>
              </w:rPr>
              <w:t>应收合并范围内关联方客户</w:t>
            </w:r>
          </w:p>
        </w:tc>
      </w:tr>
    </w:tbl>
    <w:p w:rsidR="00E22F4C" w:rsidRDefault="00E22F4C">
      <w:pPr>
        <w:pStyle w:val="a4"/>
        <w:spacing w:before="0" w:beforeAutospacing="0" w:after="0" w:afterAutospacing="0"/>
        <w:jc w:val="both"/>
        <w:divId w:val="1903758600"/>
        <w:rPr>
          <w:rFonts w:ascii="Times New Roman" w:hAnsi="Times New Roman" w:cs="Times New Roman"/>
          <w:sz w:val="21"/>
          <w:szCs w:val="21"/>
        </w:rPr>
      </w:pPr>
      <w:r>
        <w:rPr>
          <w:rFonts w:cs="Times New Roman" w:hint="eastAsia"/>
          <w:sz w:val="21"/>
          <w:szCs w:val="21"/>
        </w:rPr>
        <w:t>对于划分为组合的应收账款，公司参考历史信用损失经验，结合当前状况以及对未来经济状况的预测，编制应收账款账龄与整个存续期预期信用损失率对照表，计算预期信用损失。</w:t>
      </w:r>
    </w:p>
    <w:p w:rsidR="00E22F4C" w:rsidRDefault="00381575">
      <w:pPr>
        <w:pStyle w:val="3"/>
        <w:spacing w:line="280" w:lineRule="exact"/>
        <w:jc w:val="left"/>
        <w:rPr>
          <w:rFonts w:ascii="宋体" w:hAnsi="宋体" w:cs="宋体"/>
          <w:b/>
          <w:bCs/>
        </w:rPr>
      </w:pPr>
      <w:bookmarkStart w:id="189" w:name="_Toc989078"/>
      <w:r>
        <w:rPr>
          <w:rFonts w:ascii="宋体" w:hAnsi="宋体" w:cs="宋体"/>
          <w:b/>
          <w:bCs/>
        </w:rPr>
        <w:t>13、应收款项融资</w:t>
      </w:r>
      <w:bookmarkEnd w:id="189"/>
    </w:p>
    <w:tbl>
      <w:tblPr>
        <w:tblW w:w="5000" w:type="pct"/>
        <w:jc w:val="center"/>
        <w:tblCellMar>
          <w:top w:w="15" w:type="dxa"/>
          <w:left w:w="15" w:type="dxa"/>
          <w:bottom w:w="15" w:type="dxa"/>
          <w:right w:w="15" w:type="dxa"/>
        </w:tblCellMar>
        <w:tblLook w:val="04A0"/>
      </w:tblPr>
      <w:tblGrid>
        <w:gridCol w:w="4073"/>
        <w:gridCol w:w="5780"/>
      </w:tblGrid>
      <w:tr w:rsidR="00E22F4C">
        <w:trPr>
          <w:divId w:val="315454326"/>
          <w:jc w:val="center"/>
        </w:trPr>
        <w:tc>
          <w:tcPr>
            <w:tcW w:w="20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center"/>
              <w:rPr>
                <w:rFonts w:ascii="Times New Roman" w:hAnsi="Times New Roman" w:cs="Times New Roman"/>
                <w:sz w:val="21"/>
                <w:szCs w:val="21"/>
              </w:rPr>
            </w:pPr>
            <w:r>
              <w:rPr>
                <w:rFonts w:cs="Times New Roman" w:hint="eastAsia"/>
                <w:sz w:val="21"/>
                <w:szCs w:val="21"/>
              </w:rPr>
              <w:t>组合</w:t>
            </w:r>
          </w:p>
        </w:tc>
        <w:tc>
          <w:tcPr>
            <w:tcW w:w="29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sz w:val="21"/>
                <w:szCs w:val="21"/>
              </w:rPr>
              <w:t>确定组合的依据</w:t>
            </w:r>
          </w:p>
        </w:tc>
      </w:tr>
      <w:tr w:rsidR="00E22F4C">
        <w:trPr>
          <w:divId w:val="315454326"/>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lastRenderedPageBreak/>
              <w:t>应收票据组合1</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both"/>
              <w:rPr>
                <w:rFonts w:ascii="Times New Roman" w:hAnsi="Times New Roman" w:cs="Times New Roman"/>
                <w:sz w:val="21"/>
                <w:szCs w:val="21"/>
              </w:rPr>
            </w:pPr>
            <w:r>
              <w:rPr>
                <w:rFonts w:cs="Times New Roman" w:hint="eastAsia"/>
                <w:sz w:val="21"/>
                <w:szCs w:val="21"/>
              </w:rPr>
              <w:t>银行承兑汇票</w:t>
            </w:r>
          </w:p>
        </w:tc>
      </w:tr>
      <w:tr w:rsidR="00E22F4C">
        <w:trPr>
          <w:divId w:val="315454326"/>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应收票据组合2</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both"/>
              <w:rPr>
                <w:rFonts w:ascii="Times New Roman" w:hAnsi="Times New Roman" w:cs="Times New Roman"/>
                <w:sz w:val="21"/>
                <w:szCs w:val="21"/>
              </w:rPr>
            </w:pPr>
            <w:r>
              <w:rPr>
                <w:rFonts w:cs="Times New Roman" w:hint="eastAsia"/>
                <w:sz w:val="21"/>
                <w:szCs w:val="21"/>
              </w:rPr>
              <w:t>商业承兑汇票</w:t>
            </w:r>
          </w:p>
        </w:tc>
      </w:tr>
    </w:tbl>
    <w:p w:rsidR="00E22F4C" w:rsidRDefault="00E22F4C">
      <w:pPr>
        <w:pStyle w:val="a4"/>
        <w:spacing w:before="120" w:beforeAutospacing="0" w:after="0" w:afterAutospacing="0" w:line="440" w:lineRule="atLeast"/>
        <w:ind w:right="102" w:firstLine="424"/>
        <w:jc w:val="both"/>
        <w:divId w:val="315454326"/>
        <w:rPr>
          <w:rFonts w:ascii="Times New Roman" w:hAnsi="Times New Roman" w:cs="Times New Roman"/>
          <w:sz w:val="21"/>
          <w:szCs w:val="21"/>
        </w:rPr>
      </w:pPr>
      <w:r>
        <w:rPr>
          <w:rFonts w:cs="Times New Roman" w:hint="eastAsia"/>
          <w:sz w:val="21"/>
          <w:szCs w:val="21"/>
        </w:rPr>
        <w:t>对于划分为组合的应收票据、应收款项融资，公司参考历史信用损失经验，结合当前状况以及对未来经济状况的预测，通过违约风险敞口和整个存续期预期信用损失率，计算预期信用损失。公司认为银行承兑汇票不存在重大的信用风险，不会因银行或其他出票人违约而产生重大损失，故预期信用损失率为零。</w:t>
      </w:r>
    </w:p>
    <w:p w:rsidR="00E22F4C" w:rsidRDefault="00381575">
      <w:pPr>
        <w:pStyle w:val="3"/>
        <w:spacing w:line="280" w:lineRule="exact"/>
        <w:jc w:val="left"/>
        <w:rPr>
          <w:rFonts w:ascii="宋体" w:hAnsi="宋体" w:cs="宋体"/>
          <w:b/>
          <w:bCs/>
        </w:rPr>
      </w:pPr>
      <w:bookmarkStart w:id="190" w:name="_Toc989079"/>
      <w:r>
        <w:rPr>
          <w:rFonts w:ascii="宋体" w:hAnsi="宋体" w:cs="宋体"/>
          <w:b/>
          <w:bCs/>
        </w:rPr>
        <w:t>14、其他应收款</w:t>
      </w:r>
      <w:bookmarkEnd w:id="19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其他应收款的预期信用损失的确定方法及会计处理方法</w:t>
      </w:r>
    </w:p>
    <w:p w:rsidR="00E22F4C" w:rsidRDefault="00E22F4C">
      <w:pPr>
        <w:pStyle w:val="a4"/>
        <w:spacing w:before="120" w:beforeAutospacing="0" w:after="0" w:afterAutospacing="0" w:line="440" w:lineRule="atLeast"/>
        <w:ind w:right="102" w:firstLine="424"/>
        <w:jc w:val="both"/>
        <w:divId w:val="1168403379"/>
        <w:rPr>
          <w:rFonts w:ascii="Times New Roman" w:hAnsi="Times New Roman" w:cs="Times New Roman"/>
          <w:sz w:val="21"/>
          <w:szCs w:val="21"/>
        </w:rPr>
      </w:pPr>
      <w:r>
        <w:rPr>
          <w:rFonts w:cs="Times New Roman" w:hint="eastAsia"/>
          <w:sz w:val="21"/>
          <w:szCs w:val="21"/>
        </w:rPr>
        <w:t>当单项其他应收款、长期应收款无法以合理成本评估预期信用损失的信息时，公司依据信用风险特征将其他应收款、长期应收款划分为若干组合，在组合基础上计算预期信用损失，确定组合的依据如下</w:t>
      </w:r>
    </w:p>
    <w:tbl>
      <w:tblPr>
        <w:tblW w:w="5000" w:type="pct"/>
        <w:jc w:val="center"/>
        <w:tblCellMar>
          <w:top w:w="15" w:type="dxa"/>
          <w:left w:w="15" w:type="dxa"/>
          <w:bottom w:w="15" w:type="dxa"/>
          <w:right w:w="15" w:type="dxa"/>
        </w:tblCellMar>
        <w:tblLook w:val="04A0"/>
      </w:tblPr>
      <w:tblGrid>
        <w:gridCol w:w="4073"/>
        <w:gridCol w:w="5780"/>
      </w:tblGrid>
      <w:tr w:rsidR="00E22F4C">
        <w:trPr>
          <w:divId w:val="1168403379"/>
          <w:jc w:val="center"/>
        </w:trPr>
        <w:tc>
          <w:tcPr>
            <w:tcW w:w="20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center"/>
              <w:rPr>
                <w:rFonts w:ascii="Times New Roman" w:hAnsi="Times New Roman" w:cs="Times New Roman"/>
                <w:sz w:val="21"/>
                <w:szCs w:val="21"/>
              </w:rPr>
            </w:pPr>
            <w:r>
              <w:rPr>
                <w:rFonts w:cs="Times New Roman" w:hint="eastAsia"/>
                <w:sz w:val="21"/>
                <w:szCs w:val="21"/>
              </w:rPr>
              <w:t>组合</w:t>
            </w:r>
          </w:p>
        </w:tc>
        <w:tc>
          <w:tcPr>
            <w:tcW w:w="29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sz w:val="21"/>
                <w:szCs w:val="21"/>
              </w:rPr>
              <w:t>确定组合的依据</w:t>
            </w:r>
          </w:p>
        </w:tc>
      </w:tr>
      <w:tr w:rsidR="00E22F4C">
        <w:trPr>
          <w:divId w:val="1168403379"/>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其他应收款组合1</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应收政府拆迁补偿款</w:t>
            </w:r>
          </w:p>
        </w:tc>
      </w:tr>
      <w:tr w:rsidR="00E22F4C">
        <w:trPr>
          <w:divId w:val="1168403379"/>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其他应收款组合2</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应收往来款</w:t>
            </w:r>
          </w:p>
        </w:tc>
      </w:tr>
      <w:tr w:rsidR="00E22F4C">
        <w:trPr>
          <w:divId w:val="1168403379"/>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其他应收款组合3</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应收社保及公积金</w:t>
            </w:r>
          </w:p>
        </w:tc>
      </w:tr>
      <w:tr w:rsidR="00E22F4C">
        <w:trPr>
          <w:divId w:val="1168403379"/>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其他应收款组合4</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应收员工借款</w:t>
            </w:r>
          </w:p>
        </w:tc>
      </w:tr>
      <w:tr w:rsidR="00E22F4C">
        <w:trPr>
          <w:divId w:val="1168403379"/>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其他应收款组合5</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应收押金保证金</w:t>
            </w:r>
          </w:p>
        </w:tc>
      </w:tr>
      <w:tr w:rsidR="00E22F4C">
        <w:trPr>
          <w:divId w:val="1168403379"/>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其他应收款组合6</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48" w:beforeAutospacing="0" w:after="48" w:afterAutospacing="0" w:line="320" w:lineRule="atLeast"/>
              <w:jc w:val="both"/>
              <w:rPr>
                <w:rFonts w:ascii="Times New Roman" w:hAnsi="Times New Roman" w:cs="Times New Roman"/>
                <w:sz w:val="21"/>
                <w:szCs w:val="21"/>
              </w:rPr>
            </w:pPr>
            <w:r>
              <w:rPr>
                <w:rFonts w:cs="Times New Roman" w:hint="eastAsia"/>
                <w:sz w:val="21"/>
                <w:szCs w:val="21"/>
              </w:rPr>
              <w:t>应收其他</w:t>
            </w:r>
          </w:p>
        </w:tc>
      </w:tr>
    </w:tbl>
    <w:p w:rsidR="00E22F4C" w:rsidRDefault="00E22F4C">
      <w:pPr>
        <w:pStyle w:val="a4"/>
        <w:spacing w:before="120" w:beforeAutospacing="0" w:after="0" w:afterAutospacing="0" w:line="440" w:lineRule="atLeast"/>
        <w:ind w:right="102" w:firstLine="424"/>
        <w:jc w:val="both"/>
        <w:divId w:val="1168403379"/>
        <w:rPr>
          <w:rFonts w:ascii="Times New Roman" w:hAnsi="Times New Roman" w:cs="Times New Roman"/>
          <w:sz w:val="21"/>
          <w:szCs w:val="21"/>
        </w:rPr>
      </w:pPr>
      <w:r>
        <w:rPr>
          <w:rFonts w:cs="Times New Roman" w:hint="eastAsia"/>
          <w:sz w:val="21"/>
          <w:szCs w:val="21"/>
        </w:rPr>
        <w:t xml:space="preserve">对于划分为组合的其他应收款，通过违约风险敞口和未来 </w:t>
      </w:r>
      <w:r>
        <w:rPr>
          <w:rFonts w:ascii="Times New Roman" w:hAnsi="Times New Roman" w:cs="Times New Roman"/>
          <w:sz w:val="21"/>
          <w:szCs w:val="21"/>
        </w:rPr>
        <w:t xml:space="preserve">12 </w:t>
      </w:r>
      <w:r>
        <w:rPr>
          <w:rFonts w:cs="Times New Roman" w:hint="eastAsia"/>
          <w:sz w:val="21"/>
          <w:szCs w:val="21"/>
        </w:rPr>
        <w:t>个月内或整个存续期预期信用损失率，计算预期信用损失。公司将计提或转回的应收款项损失准备计入当期损益。对于持有的以公允价值计量且其变动计入其他综合收益的债务工具，公司在将减值损失或利得计入当期损益的同时调整其他综合收益。</w:t>
      </w:r>
    </w:p>
    <w:p w:rsidR="00E22F4C" w:rsidRDefault="00381575">
      <w:pPr>
        <w:pStyle w:val="3"/>
        <w:spacing w:line="280" w:lineRule="exact"/>
        <w:jc w:val="left"/>
        <w:rPr>
          <w:rFonts w:ascii="宋体" w:hAnsi="宋体" w:cs="宋体"/>
          <w:b/>
          <w:bCs/>
        </w:rPr>
      </w:pPr>
      <w:bookmarkStart w:id="191" w:name="_Toc989080"/>
      <w:r>
        <w:rPr>
          <w:rFonts w:ascii="宋体" w:hAnsi="宋体" w:cs="宋体"/>
          <w:b/>
          <w:bCs/>
        </w:rPr>
        <w:t>15、存货</w:t>
      </w:r>
      <w:bookmarkEnd w:id="191"/>
    </w:p>
    <w:p w:rsidR="00E22F4C" w:rsidRDefault="00E22F4C">
      <w:pPr>
        <w:pStyle w:val="a4"/>
        <w:spacing w:before="120" w:beforeAutospacing="0" w:after="0" w:afterAutospacing="0" w:line="400" w:lineRule="atLeast"/>
        <w:ind w:firstLine="424"/>
        <w:jc w:val="both"/>
        <w:divId w:val="121092345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）存货分类：原材料、在产品、半成品和产成品。</w:t>
      </w:r>
    </w:p>
    <w:p w:rsidR="00E22F4C" w:rsidRDefault="00E22F4C">
      <w:pPr>
        <w:pStyle w:val="a4"/>
        <w:spacing w:before="120" w:beforeAutospacing="0" w:after="0" w:afterAutospacing="0" w:line="420" w:lineRule="atLeast"/>
        <w:ind w:right="102" w:firstLine="424"/>
        <w:jc w:val="both"/>
        <w:divId w:val="121092345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）存货计价：</w:t>
      </w:r>
    </w:p>
    <w:p w:rsidR="00E22F4C" w:rsidRDefault="00E22F4C">
      <w:pPr>
        <w:pStyle w:val="a4"/>
        <w:spacing w:before="120" w:beforeAutospacing="0" w:after="0" w:afterAutospacing="0" w:line="420" w:lineRule="atLeast"/>
        <w:ind w:right="102" w:firstLine="424"/>
        <w:jc w:val="both"/>
        <w:divId w:val="1210923457"/>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、原材料按实际成本入账，领用时按加权平均法核算。</w:t>
      </w:r>
    </w:p>
    <w:p w:rsidR="00E22F4C" w:rsidRDefault="00E22F4C">
      <w:pPr>
        <w:pStyle w:val="a4"/>
        <w:spacing w:before="120" w:beforeAutospacing="0" w:after="0" w:afterAutospacing="0" w:line="420" w:lineRule="atLeast"/>
        <w:ind w:right="102" w:firstLine="424"/>
        <w:jc w:val="both"/>
        <w:divId w:val="1210923457"/>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、在产品、半成品和产成品按实际成本计价，发出时按加权平均法核算。</w:t>
      </w:r>
    </w:p>
    <w:p w:rsidR="00E22F4C" w:rsidRDefault="00E22F4C">
      <w:pPr>
        <w:pStyle w:val="a4"/>
        <w:spacing w:before="120" w:beforeAutospacing="0" w:after="0" w:afterAutospacing="0" w:line="420" w:lineRule="atLeast"/>
        <w:ind w:right="102" w:firstLine="424"/>
        <w:jc w:val="both"/>
        <w:divId w:val="121092345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）存货的盘存制度：采用永续盘存制。</w:t>
      </w:r>
    </w:p>
    <w:p w:rsidR="00E22F4C" w:rsidRDefault="00E22F4C">
      <w:pPr>
        <w:pStyle w:val="a4"/>
        <w:spacing w:before="120" w:beforeAutospacing="0" w:after="0" w:afterAutospacing="0" w:line="420" w:lineRule="atLeast"/>
        <w:ind w:right="102" w:firstLine="424"/>
        <w:jc w:val="both"/>
        <w:divId w:val="1210923457"/>
        <w:rPr>
          <w:rFonts w:ascii="Times New Roman" w:hAnsi="Times New Roman" w:cs="Times New Roman"/>
          <w:sz w:val="21"/>
          <w:szCs w:val="21"/>
        </w:rPr>
      </w:pPr>
      <w:r>
        <w:rPr>
          <w:rFonts w:cs="Times New Roman" w:hint="eastAsia"/>
          <w:sz w:val="21"/>
          <w:szCs w:val="21"/>
        </w:rPr>
        <w:lastRenderedPageBreak/>
        <w:t>（</w:t>
      </w:r>
      <w:r>
        <w:rPr>
          <w:rFonts w:ascii="Times New Roman" w:hAnsi="Times New Roman" w:cs="Times New Roman"/>
          <w:sz w:val="21"/>
          <w:szCs w:val="21"/>
        </w:rPr>
        <w:t>4</w:t>
      </w:r>
      <w:r>
        <w:rPr>
          <w:rFonts w:cs="Times New Roman" w:hint="eastAsia"/>
          <w:sz w:val="21"/>
          <w:szCs w:val="21"/>
        </w:rPr>
        <w:t>）存货跌价准备的确认和计提：</w:t>
      </w:r>
    </w:p>
    <w:p w:rsidR="00E22F4C" w:rsidRDefault="00E22F4C">
      <w:pPr>
        <w:pStyle w:val="a4"/>
        <w:spacing w:before="120" w:beforeAutospacing="0" w:after="0" w:afterAutospacing="0" w:line="420" w:lineRule="atLeast"/>
        <w:ind w:right="102" w:firstLine="424"/>
        <w:jc w:val="both"/>
        <w:divId w:val="1210923457"/>
        <w:rPr>
          <w:rFonts w:ascii="Times New Roman" w:hAnsi="Times New Roman" w:cs="Times New Roman"/>
          <w:sz w:val="21"/>
          <w:szCs w:val="21"/>
        </w:rPr>
      </w:pPr>
      <w:r>
        <w:rPr>
          <w:rFonts w:cs="Times New Roman" w:hint="eastAsia"/>
          <w:sz w:val="21"/>
          <w:szCs w:val="21"/>
        </w:rPr>
        <w:t>按照单个存货项目以可变现净值低于账面成本差额计提存货跌价准备，并计入当期损益。产成品和用于出售的材料等直接用于出售的，以该存货的估计售价减去估计的销售费用和相关税费后的金额，确定其可变现净值；需要经过加工的材料存货，以所生产的产成品的估计售价减去至完工时估计将要发生的成本、估计的销售费用和相关税费后的金额，确定其可变现净值；同一项存货中一部分有合同价格约定、其他部分不存在合同价格的，则分别确定其可变现净值。计提存货跌价准备后，如果减记存货价值的影响因素已经消失的，减记的金额予以恢复，并在原已计提的存货跌价准备金额内转回，转回的金额计入当期损益。</w:t>
      </w:r>
    </w:p>
    <w:p w:rsidR="00E22F4C" w:rsidRDefault="00381575">
      <w:pPr>
        <w:pStyle w:val="3"/>
        <w:spacing w:line="280" w:lineRule="exact"/>
        <w:jc w:val="left"/>
        <w:rPr>
          <w:rFonts w:ascii="宋体" w:hAnsi="宋体" w:cs="宋体"/>
          <w:b/>
          <w:bCs/>
        </w:rPr>
      </w:pPr>
      <w:bookmarkStart w:id="192" w:name="_Toc989081"/>
      <w:r>
        <w:rPr>
          <w:rFonts w:ascii="宋体" w:hAnsi="宋体" w:cs="宋体"/>
          <w:b/>
          <w:bCs/>
        </w:rPr>
        <w:t>16、合同资产</w:t>
      </w:r>
      <w:bookmarkEnd w:id="192"/>
    </w:p>
    <w:p w:rsidR="00E22F4C" w:rsidRDefault="00E22F4C">
      <w:pPr>
        <w:pStyle w:val="a4"/>
        <w:spacing w:before="120" w:beforeAutospacing="0" w:after="0" w:afterAutospacing="0" w:line="420" w:lineRule="atLeast"/>
        <w:ind w:right="102" w:firstLine="424"/>
        <w:jc w:val="both"/>
        <w:divId w:val="90172178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）合同资产的确认方法及标准</w:t>
      </w:r>
    </w:p>
    <w:p w:rsidR="00E22F4C" w:rsidRDefault="00E22F4C">
      <w:pPr>
        <w:pStyle w:val="a4"/>
        <w:spacing w:before="120" w:beforeAutospacing="0" w:after="0" w:afterAutospacing="0" w:line="420" w:lineRule="atLeast"/>
        <w:ind w:right="102" w:firstLine="424"/>
        <w:jc w:val="both"/>
        <w:divId w:val="901721781"/>
        <w:rPr>
          <w:rFonts w:ascii="Times New Roman" w:hAnsi="Times New Roman" w:cs="Times New Roman"/>
          <w:sz w:val="21"/>
          <w:szCs w:val="21"/>
        </w:rPr>
      </w:pPr>
      <w:r>
        <w:rPr>
          <w:rFonts w:cs="Times New Roman" w:hint="eastAsia"/>
          <w:sz w:val="21"/>
          <w:szCs w:val="21"/>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p>
    <w:p w:rsidR="00E22F4C" w:rsidRDefault="00E22F4C">
      <w:pPr>
        <w:pStyle w:val="a4"/>
        <w:divId w:val="1120686444"/>
        <w:rPr>
          <w:sz w:val="18"/>
          <w:szCs w:val="18"/>
        </w:rPr>
      </w:pPr>
      <w:r>
        <w:rPr>
          <w:rFonts w:hint="eastAsia"/>
          <w:sz w:val="18"/>
          <w:szCs w:val="18"/>
        </w:rPr>
        <w:t>（</w:t>
      </w:r>
      <w:r>
        <w:rPr>
          <w:rFonts w:ascii="Times New Roman" w:hAnsi="Times New Roman" w:cs="Times New Roman"/>
          <w:sz w:val="18"/>
          <w:szCs w:val="18"/>
        </w:rPr>
        <w:t>2</w:t>
      </w:r>
      <w:r>
        <w:rPr>
          <w:rFonts w:hint="eastAsia"/>
          <w:sz w:val="18"/>
          <w:szCs w:val="18"/>
        </w:rPr>
        <w:t>）合同资产的预期信用损失的确定方法及会计处理方法详见本附注“五、重要会计政策及会计估计之</w:t>
      </w:r>
      <w:r>
        <w:rPr>
          <w:rFonts w:ascii="Times New Roman" w:hAnsi="Times New Roman" w:cs="Times New Roman"/>
          <w:sz w:val="18"/>
          <w:szCs w:val="18"/>
        </w:rPr>
        <w:t>10</w:t>
      </w:r>
      <w:r>
        <w:rPr>
          <w:rFonts w:hint="eastAsia"/>
          <w:sz w:val="18"/>
          <w:szCs w:val="18"/>
        </w:rPr>
        <w:t>、金融工具”。</w:t>
      </w:r>
    </w:p>
    <w:p w:rsidR="00E22F4C" w:rsidRDefault="00381575">
      <w:pPr>
        <w:pStyle w:val="3"/>
        <w:spacing w:line="280" w:lineRule="exact"/>
        <w:jc w:val="left"/>
        <w:rPr>
          <w:rFonts w:ascii="宋体" w:hAnsi="宋体" w:cs="宋体"/>
          <w:b/>
          <w:bCs/>
        </w:rPr>
      </w:pPr>
      <w:bookmarkStart w:id="193" w:name="_Toc989082"/>
      <w:r>
        <w:rPr>
          <w:rFonts w:ascii="宋体" w:hAnsi="宋体" w:cs="宋体"/>
          <w:b/>
          <w:bCs/>
        </w:rPr>
        <w:t>17、合同成本</w:t>
      </w:r>
      <w:bookmarkEnd w:id="193"/>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合同成本包括合同履约成本与合同取得成本。</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本公司为履行合同而发生的成本，不属于存货、固定资产或无形资产等相关准则规范范围的，在满足下列条件时作为合同履约成本确认为一项资产：</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）该成本与一份当前或预期取得的合同直接相关；</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）该成本增加了本公司未来用于履行履约义务的资源；</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）该成本预期能够收回。</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本公司为取得合同发生的增量成本预期能够收回的，作为合同取得成本确认为一项资产。</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与合同成本有关的资产采用与该资产相关的商品或服务收入确认相同的基础进行摊销；但是对于合同取得成本摊销期限未超过一年的，本公司在发生时将其计入当期损益。</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lastRenderedPageBreak/>
        <w:t>与合同成本有关的资产，其账面价值高于下列两项的差额的，本公司对超出部分计提减值准备，并确认为资产减值损失：</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）因转让与该资产相关的商品或服务预期能够取得的剩余对价；</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）为转让该相关商品或服务估计将要发生的成本。</w:t>
      </w:r>
    </w:p>
    <w:p w:rsidR="00E22F4C" w:rsidRDefault="00E22F4C">
      <w:pPr>
        <w:pStyle w:val="a4"/>
        <w:spacing w:before="120" w:beforeAutospacing="0" w:after="0" w:afterAutospacing="0" w:line="440" w:lineRule="atLeast"/>
        <w:ind w:firstLine="424"/>
        <w:jc w:val="both"/>
        <w:divId w:val="728382600"/>
        <w:rPr>
          <w:rFonts w:ascii="Times New Roman" w:hAnsi="Times New Roman" w:cs="Times New Roman"/>
          <w:sz w:val="21"/>
          <w:szCs w:val="21"/>
        </w:rPr>
      </w:pPr>
      <w:r>
        <w:rPr>
          <w:rFonts w:cs="Times New Roman" w:hint="eastAsia"/>
          <w:sz w:val="21"/>
          <w:szCs w:val="21"/>
        </w:rPr>
        <w:t>以前期间减值的因素之后发生变化，使得前述差额高于该资产账面价值的，本公司转回原已计提的减值准备，并计入当期损益，但转回后的资产账面价值不超过假定不计提减值准备情况下该资产在转回日的账面价值。</w:t>
      </w:r>
    </w:p>
    <w:p w:rsidR="00E22F4C" w:rsidRDefault="00381575">
      <w:pPr>
        <w:pStyle w:val="3"/>
        <w:spacing w:line="280" w:lineRule="exact"/>
        <w:jc w:val="left"/>
        <w:rPr>
          <w:rFonts w:ascii="宋体" w:hAnsi="宋体" w:cs="宋体"/>
          <w:b/>
          <w:bCs/>
        </w:rPr>
      </w:pPr>
      <w:bookmarkStart w:id="194" w:name="_Toc989083"/>
      <w:r>
        <w:rPr>
          <w:rFonts w:ascii="宋体" w:hAnsi="宋体" w:cs="宋体"/>
          <w:b/>
          <w:bCs/>
        </w:rPr>
        <w:t>18、持有待售资产</w:t>
      </w:r>
      <w:bookmarkEnd w:id="194"/>
    </w:p>
    <w:p w:rsidR="00E22F4C" w:rsidRDefault="00E22F4C">
      <w:pPr>
        <w:pStyle w:val="a4"/>
        <w:spacing w:before="120" w:beforeAutospacing="0" w:after="0" w:afterAutospacing="0" w:line="420" w:lineRule="atLeast"/>
        <w:ind w:right="102" w:firstLine="424"/>
        <w:jc w:val="both"/>
        <w:divId w:val="1672832886"/>
        <w:rPr>
          <w:rFonts w:ascii="Times New Roman" w:hAnsi="Times New Roman" w:cs="Times New Roman"/>
          <w:sz w:val="21"/>
          <w:szCs w:val="21"/>
        </w:rPr>
      </w:pPr>
      <w:r>
        <w:rPr>
          <w:rFonts w:cs="Times New Roman" w:hint="eastAsia"/>
          <w:sz w:val="21"/>
          <w:szCs w:val="21"/>
        </w:rPr>
        <w:t>本公司将同时满足下列条件的非流动资产或处置组划分为持有待售类别：</w:t>
      </w:r>
    </w:p>
    <w:p w:rsidR="00E22F4C" w:rsidRDefault="00E22F4C">
      <w:pPr>
        <w:pStyle w:val="a4"/>
        <w:spacing w:before="120" w:beforeAutospacing="0" w:after="0" w:afterAutospacing="0" w:line="420" w:lineRule="atLeast"/>
        <w:ind w:right="102" w:firstLine="424"/>
        <w:jc w:val="both"/>
        <w:divId w:val="1672832886"/>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）根据类似交易中出售此类资产或处置组的惯例，在当前状况下即可立即出售；</w:t>
      </w:r>
    </w:p>
    <w:p w:rsidR="00E22F4C" w:rsidRDefault="00E22F4C">
      <w:pPr>
        <w:pStyle w:val="a4"/>
        <w:spacing w:before="120" w:beforeAutospacing="0" w:after="0" w:afterAutospacing="0" w:line="420" w:lineRule="atLeast"/>
        <w:ind w:right="102" w:firstLine="424"/>
        <w:jc w:val="both"/>
        <w:divId w:val="1672832886"/>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）出售极可能发生，即本公司已经就一项出售计划作出决议且获得确定的购买承诺，预计出售将在一年内完成。有关规定要求本公司相关权力机构或者监管部门批准后方可出售的，已经获得批准。</w:t>
      </w:r>
    </w:p>
    <w:p w:rsidR="00E22F4C" w:rsidRDefault="00E22F4C">
      <w:pPr>
        <w:pStyle w:val="a4"/>
        <w:spacing w:before="0" w:beforeAutospacing="0" w:after="0" w:afterAutospacing="0"/>
        <w:jc w:val="both"/>
        <w:divId w:val="1672832886"/>
        <w:rPr>
          <w:rFonts w:ascii="Times New Roman" w:hAnsi="Times New Roman" w:cs="Times New Roman"/>
          <w:sz w:val="21"/>
          <w:szCs w:val="21"/>
        </w:rPr>
      </w:pPr>
      <w:r>
        <w:rPr>
          <w:rFonts w:cs="Times New Roman" w:hint="eastAsia"/>
          <w:sz w:val="21"/>
          <w:szCs w:val="21"/>
        </w:rPr>
        <w:t>确定的购买承诺，是指企业与其他方签订的具有法律约束力的购买协议，该协议包含交易价格、时间和足够严厉的违约惩罚等重要条款，使协议出现重大调整或者撤销的可能性极小。</w:t>
      </w:r>
    </w:p>
    <w:p w:rsidR="00E22F4C" w:rsidRDefault="00381575">
      <w:pPr>
        <w:pStyle w:val="3"/>
        <w:spacing w:line="280" w:lineRule="exact"/>
        <w:jc w:val="left"/>
        <w:rPr>
          <w:rFonts w:ascii="宋体" w:hAnsi="宋体" w:cs="宋体"/>
          <w:b/>
          <w:bCs/>
        </w:rPr>
      </w:pPr>
      <w:bookmarkStart w:id="195" w:name="_Toc989084"/>
      <w:r>
        <w:rPr>
          <w:rFonts w:ascii="宋体" w:hAnsi="宋体" w:cs="宋体"/>
          <w:b/>
          <w:bCs/>
        </w:rPr>
        <w:t>19、债权投资</w:t>
      </w:r>
      <w:bookmarkEnd w:id="195"/>
    </w:p>
    <w:p w:rsidR="00E22F4C" w:rsidRDefault="00E22F4C">
      <w:pPr>
        <w:divId w:val="274292144"/>
        <w:rPr>
          <w:sz w:val="18"/>
          <w:szCs w:val="18"/>
        </w:rPr>
      </w:pPr>
    </w:p>
    <w:p w:rsidR="00E22F4C" w:rsidRDefault="00381575">
      <w:pPr>
        <w:pStyle w:val="3"/>
        <w:spacing w:line="280" w:lineRule="exact"/>
        <w:jc w:val="left"/>
        <w:rPr>
          <w:rFonts w:ascii="宋体" w:hAnsi="宋体" w:cs="宋体"/>
          <w:b/>
          <w:bCs/>
        </w:rPr>
      </w:pPr>
      <w:bookmarkStart w:id="196" w:name="_Toc989085"/>
      <w:r>
        <w:rPr>
          <w:rFonts w:ascii="宋体" w:hAnsi="宋体" w:cs="宋体"/>
          <w:b/>
          <w:bCs/>
        </w:rPr>
        <w:t>20、其他债权投资</w:t>
      </w:r>
      <w:bookmarkEnd w:id="196"/>
    </w:p>
    <w:p w:rsidR="00E22F4C" w:rsidRDefault="00E22F4C">
      <w:pPr>
        <w:divId w:val="1128625938"/>
        <w:rPr>
          <w:sz w:val="18"/>
          <w:szCs w:val="18"/>
        </w:rPr>
      </w:pPr>
    </w:p>
    <w:p w:rsidR="00E22F4C" w:rsidRDefault="00381575">
      <w:pPr>
        <w:pStyle w:val="3"/>
        <w:spacing w:line="280" w:lineRule="exact"/>
        <w:jc w:val="left"/>
        <w:rPr>
          <w:rFonts w:ascii="宋体" w:hAnsi="宋体" w:cs="宋体"/>
          <w:b/>
          <w:bCs/>
        </w:rPr>
      </w:pPr>
      <w:bookmarkStart w:id="197" w:name="_Toc989086"/>
      <w:r>
        <w:rPr>
          <w:rFonts w:ascii="宋体" w:hAnsi="宋体" w:cs="宋体"/>
          <w:b/>
          <w:bCs/>
        </w:rPr>
        <w:t>21、长期应收款</w:t>
      </w:r>
      <w:bookmarkEnd w:id="197"/>
    </w:p>
    <w:p w:rsidR="00E22F4C" w:rsidRDefault="00E22F4C">
      <w:pPr>
        <w:divId w:val="1449394366"/>
        <w:rPr>
          <w:sz w:val="18"/>
          <w:szCs w:val="18"/>
        </w:rPr>
      </w:pPr>
    </w:p>
    <w:p w:rsidR="00E22F4C" w:rsidRDefault="00381575">
      <w:pPr>
        <w:pStyle w:val="3"/>
        <w:spacing w:line="280" w:lineRule="exact"/>
        <w:jc w:val="left"/>
        <w:rPr>
          <w:rFonts w:ascii="宋体" w:hAnsi="宋体" w:cs="宋体"/>
          <w:b/>
          <w:bCs/>
        </w:rPr>
      </w:pPr>
      <w:bookmarkStart w:id="198" w:name="_Toc989087"/>
      <w:r>
        <w:rPr>
          <w:rFonts w:ascii="宋体" w:hAnsi="宋体" w:cs="宋体"/>
          <w:b/>
          <w:bCs/>
        </w:rPr>
        <w:t>22、长期股权投资</w:t>
      </w:r>
      <w:bookmarkEnd w:id="198"/>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）长期股权投资的分类</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公司的长期股权投资包括对子公司的投资和对合营企业、联营企业的投资。</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）投资成本的确定</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、同一控制下的企业合并形成的，合并方以支付现金、转让非现金资产、承担债务或发行权益性证券作为合并对价的，在合并日按照取得被合并方所有者权益在最终控制方合并财务报表中的账面价值</w:t>
      </w:r>
      <w:r>
        <w:rPr>
          <w:rFonts w:cs="Times New Roman" w:hint="eastAsia"/>
          <w:sz w:val="21"/>
          <w:szCs w:val="21"/>
        </w:rPr>
        <w:lastRenderedPageBreak/>
        <w:t>的份额作为其初始投资成本。长期股权投资初始投资成本与支付的现金、转让的非现金资产以及所承担债务账面价值之间的差额调整资本公积；资本公积不足冲减的，调整留存收益。</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公司通过多次交易分步实现同一控制下企业合并形成的长期股权投资，在个别财务报表和合并财务报表中，将按持股比例享有在合并日被合并方所有者权益账面价值的份额作为初始投资成本。</w:t>
      </w:r>
      <w:r>
        <w:rPr>
          <w:rFonts w:ascii="Times New Roman" w:hAnsi="Times New Roman" w:cs="Times New Roman"/>
          <w:sz w:val="21"/>
          <w:szCs w:val="21"/>
        </w:rPr>
        <w:t xml:space="preserve"> </w:t>
      </w:r>
      <w:r>
        <w:rPr>
          <w:rFonts w:cs="Times New Roman" w:hint="eastAsia"/>
          <w:sz w:val="21"/>
          <w:szCs w:val="21"/>
        </w:rPr>
        <w:t>合并日之前所持被合并方的股权投资账面价值加上合并日新增投资成本，</w:t>
      </w:r>
      <w:r>
        <w:rPr>
          <w:rFonts w:ascii="Times New Roman" w:hAnsi="Times New Roman" w:cs="Times New Roman"/>
          <w:sz w:val="21"/>
          <w:szCs w:val="21"/>
        </w:rPr>
        <w:t xml:space="preserve"> </w:t>
      </w:r>
      <w:r>
        <w:rPr>
          <w:rFonts w:cs="Times New Roman" w:hint="eastAsia"/>
          <w:sz w:val="21"/>
          <w:szCs w:val="21"/>
        </w:rPr>
        <w:t>与长期股权投资初始投资成本之间的差额调整资本公积；资本公积不足冲减的，调整留存收益。</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、非同一控制下的企业合并形成的，在购买日按照支付的合并对价的公允价值作为其初始投资成本。公司通过多次交易分步实现非同一控制下企业合并形成的长期股权投资， 区分个别财务报表和合并财务报表进行相关会计处理：</w:t>
      </w:r>
      <w:r>
        <w:rPr>
          <w:rFonts w:ascii="Times New Roman" w:hAnsi="Times New Roman" w:cs="Times New Roman"/>
          <w:sz w:val="21"/>
          <w:szCs w:val="21"/>
        </w:rPr>
        <w:t xml:space="preserve">1) </w:t>
      </w:r>
      <w:r>
        <w:rPr>
          <w:rFonts w:cs="Times New Roman" w:hint="eastAsia"/>
          <w:sz w:val="21"/>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转入当期投资收益。</w:t>
      </w:r>
      <w:r>
        <w:rPr>
          <w:rFonts w:ascii="Times New Roman" w:hAnsi="Times New Roman" w:cs="Times New Roman"/>
          <w:sz w:val="21"/>
          <w:szCs w:val="21"/>
        </w:rPr>
        <w:t xml:space="preserve">2) </w:t>
      </w:r>
      <w:r>
        <w:rPr>
          <w:rFonts w:cs="Times New Roman" w:hint="eastAsia"/>
          <w:sz w:val="21"/>
          <w:szCs w:val="21"/>
        </w:rPr>
        <w:t>在合并财务报表中，对于购买日之前持有的被购买方的股权，按照该股权在购买日的公允价值进行重新计量，公允价值与其账面价值的差额计入当期投资收益； 购买日之前持有的被购买方的股权涉及其他综合收益的，与其相关的其他综合收益转为购买日所属当期投资收益。</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除企业合并形成以外的：以支付现金取得的长期股权投资，按照实际支付的购买价款作为投资成本。投资成本包括与取得长期股权投资直接相关的费用、税金及其他必要支出；发行权益性证券取得的长期股权投资，按照发行权益性证券的公允价值作为投资成本；通过非货币性资产交换取得的长期股权投资，其初始投资成本按照《企业会计准则第</w:t>
      </w:r>
      <w:r>
        <w:rPr>
          <w:rFonts w:ascii="Times New Roman" w:hAnsi="Times New Roman" w:cs="Times New Roman"/>
          <w:sz w:val="21"/>
          <w:szCs w:val="21"/>
        </w:rPr>
        <w:t>7</w:t>
      </w:r>
      <w:r>
        <w:rPr>
          <w:rFonts w:cs="Times New Roman" w:hint="eastAsia"/>
          <w:sz w:val="21"/>
          <w:szCs w:val="21"/>
        </w:rPr>
        <w:t>号——非货币性资产交换》确定；通过债务重组取得的长期股权投资，其初始投资成本按照《企业会计准则第</w:t>
      </w:r>
      <w:r>
        <w:rPr>
          <w:rFonts w:ascii="Times New Roman" w:hAnsi="Times New Roman" w:cs="Times New Roman"/>
          <w:sz w:val="21"/>
          <w:szCs w:val="21"/>
        </w:rPr>
        <w:t>12</w:t>
      </w:r>
      <w:r>
        <w:rPr>
          <w:rFonts w:cs="Times New Roman" w:hint="eastAsia"/>
          <w:sz w:val="21"/>
          <w:szCs w:val="21"/>
        </w:rPr>
        <w:t>号——债务重组》确定。</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）后续计量及损益确认方法</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对被投资单位能够实施控制的长期股权投资采用成本法核算；对具有共同控制、重大影响的长期股权投资，采用权益法核算。</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4</w:t>
      </w:r>
      <w:r>
        <w:rPr>
          <w:rFonts w:cs="Times New Roman" w:hint="eastAsia"/>
          <w:sz w:val="21"/>
          <w:szCs w:val="21"/>
        </w:rPr>
        <w:t>）确定对被投资单位具有重大影响的依据</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对被投资单位的财务和经营政策有参与决策的权力，但并不能够控制或者与其他方一起共同控制这些政策的制定的，认定为重大影响。</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5</w:t>
      </w:r>
      <w:r>
        <w:rPr>
          <w:rFonts w:cs="Times New Roman" w:hint="eastAsia"/>
          <w:sz w:val="21"/>
          <w:szCs w:val="21"/>
        </w:rPr>
        <w:t>）确定对被投资单位具有共同控制的依据</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共同控制是指，是指按照相关约定对某项安排所共有的控制，并且该安排的相关活动必须经过分享控制权的参与方一致同意后才能决策。</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6</w:t>
      </w:r>
      <w:r>
        <w:rPr>
          <w:rFonts w:cs="Times New Roman" w:hint="eastAsia"/>
          <w:sz w:val="21"/>
          <w:szCs w:val="21"/>
        </w:rPr>
        <w:t>）减值测试方法及减值准备计提方法</w:t>
      </w:r>
    </w:p>
    <w:p w:rsidR="00E22F4C" w:rsidRDefault="00E22F4C">
      <w:pPr>
        <w:pStyle w:val="a4"/>
        <w:spacing w:before="120" w:beforeAutospacing="0" w:after="0" w:afterAutospacing="0" w:line="420" w:lineRule="atLeast"/>
        <w:ind w:firstLine="424"/>
        <w:jc w:val="both"/>
        <w:divId w:val="1603025372"/>
        <w:rPr>
          <w:rFonts w:ascii="Times New Roman" w:hAnsi="Times New Roman" w:cs="Times New Roman"/>
          <w:sz w:val="21"/>
          <w:szCs w:val="21"/>
        </w:rPr>
      </w:pPr>
      <w:r>
        <w:rPr>
          <w:rFonts w:cs="Times New Roman" w:hint="eastAsia"/>
          <w:sz w:val="21"/>
          <w:szCs w:val="21"/>
        </w:rPr>
        <w:lastRenderedPageBreak/>
        <w:t>对子公司、联营企业及合营企业的投资，在资产负债表日有客观证据表明其发生减值的，按照账面价值高于可收回金额的差额计提相应的减值准备。</w:t>
      </w:r>
    </w:p>
    <w:p w:rsidR="00E22F4C" w:rsidRDefault="00381575">
      <w:pPr>
        <w:pStyle w:val="3"/>
        <w:spacing w:line="280" w:lineRule="exact"/>
        <w:jc w:val="left"/>
        <w:rPr>
          <w:rFonts w:ascii="宋体" w:hAnsi="宋体" w:cs="宋体"/>
          <w:b/>
          <w:bCs/>
        </w:rPr>
      </w:pPr>
      <w:bookmarkStart w:id="199" w:name="_Toc989088"/>
      <w:r>
        <w:rPr>
          <w:rFonts w:ascii="宋体" w:hAnsi="宋体" w:cs="宋体"/>
          <w:b/>
          <w:bCs/>
        </w:rPr>
        <w:t>23、投资性房地产</w:t>
      </w:r>
      <w:bookmarkEnd w:id="19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投资性房地产计量模式</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成本法计量</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折旧或摊销方法</w:t>
      </w:r>
    </w:p>
    <w:p w:rsidR="00E22F4C" w:rsidRDefault="00E22F4C">
      <w:pPr>
        <w:pStyle w:val="a4"/>
        <w:spacing w:before="120" w:beforeAutospacing="0" w:after="0" w:afterAutospacing="0" w:line="440" w:lineRule="atLeast"/>
        <w:ind w:firstLine="425"/>
        <w:jc w:val="both"/>
        <w:divId w:val="2106147569"/>
        <w:rPr>
          <w:rFonts w:ascii="Times New Roman" w:hAnsi="Times New Roman" w:cs="Times New Roman"/>
          <w:sz w:val="21"/>
          <w:szCs w:val="21"/>
        </w:rPr>
      </w:pPr>
      <w:r>
        <w:rPr>
          <w:rFonts w:cs="Times New Roman" w:hint="eastAsia"/>
          <w:sz w:val="21"/>
          <w:szCs w:val="21"/>
        </w:rPr>
        <w:t>投资性房地产包括已出租的土地使用权、持有并准备增值后转让的土地使用权以及已出租的建筑物。当公司能够取得与投资性房地产相关的租金收入或增值收益以及投资性房地产的成本能够可靠计量时，公司按购置或建造的实际支出对其进行初始计量。</w:t>
      </w:r>
    </w:p>
    <w:p w:rsidR="00E22F4C" w:rsidRDefault="00E22F4C">
      <w:pPr>
        <w:pStyle w:val="a4"/>
        <w:spacing w:before="120" w:beforeAutospacing="0" w:after="0" w:afterAutospacing="0" w:line="440" w:lineRule="atLeast"/>
        <w:ind w:firstLine="424"/>
        <w:divId w:val="2106147569"/>
        <w:rPr>
          <w:rFonts w:ascii="Times New Roman" w:hAnsi="Times New Roman" w:cs="Times New Roman"/>
          <w:sz w:val="21"/>
          <w:szCs w:val="21"/>
        </w:rPr>
      </w:pPr>
      <w:r>
        <w:rPr>
          <w:rFonts w:cs="Times New Roman" w:hint="eastAsia"/>
          <w:sz w:val="21"/>
          <w:szCs w:val="21"/>
        </w:rPr>
        <w:t>一般情况下，公司对投资性房地产的后续支出采用成本模式进行后续计量，按照固定资产或无形资产的会计政策，计提折旧或进行摊销。资产负债表日，有迹象表明投资性房地产发生减值的，按本财务报表附注三</w:t>
      </w:r>
      <w:r>
        <w:rPr>
          <w:rFonts w:ascii="Times New Roman" w:hAnsi="Times New Roman" w:cs="Times New Roman"/>
          <w:sz w:val="21"/>
          <w:szCs w:val="21"/>
        </w:rPr>
        <w:t>-21</w:t>
      </w:r>
      <w:r>
        <w:rPr>
          <w:rFonts w:cs="Times New Roman" w:hint="eastAsia"/>
          <w:sz w:val="21"/>
          <w:szCs w:val="21"/>
        </w:rPr>
        <w:t>所述方法计提投资性房地产减值准备。投资性房地产减值损失一经确认，在以后会计期间不再转回。</w:t>
      </w:r>
    </w:p>
    <w:p w:rsidR="00E22F4C" w:rsidRDefault="00381575">
      <w:pPr>
        <w:pStyle w:val="3"/>
        <w:spacing w:line="280" w:lineRule="exact"/>
        <w:jc w:val="left"/>
        <w:rPr>
          <w:rFonts w:ascii="宋体" w:hAnsi="宋体" w:cs="宋体"/>
          <w:b/>
          <w:bCs/>
        </w:rPr>
      </w:pPr>
      <w:bookmarkStart w:id="200" w:name="_Toc989089"/>
      <w:r>
        <w:rPr>
          <w:rFonts w:ascii="宋体" w:hAnsi="宋体" w:cs="宋体"/>
          <w:b/>
          <w:bCs/>
        </w:rPr>
        <w:t>24、固定资产</w:t>
      </w:r>
      <w:bookmarkEnd w:id="200"/>
    </w:p>
    <w:p w:rsidR="00E22F4C" w:rsidRDefault="00381575">
      <w:pPr>
        <w:keepNext/>
        <w:keepLines/>
        <w:spacing w:before="300" w:after="300" w:line="280" w:lineRule="exact"/>
        <w:outlineLvl w:val="3"/>
        <w:rPr>
          <w:rFonts w:ascii="宋体" w:eastAsia="宋体" w:hAnsi="宋体" w:cs="宋体"/>
          <w:b/>
          <w:bCs/>
          <w:szCs w:val="21"/>
        </w:rPr>
      </w:pPr>
      <w:bookmarkStart w:id="201" w:name="_Toc989090"/>
      <w:r>
        <w:rPr>
          <w:rFonts w:ascii="宋体" w:eastAsia="宋体" w:hAnsi="宋体" w:cs="宋体"/>
          <w:b/>
          <w:bCs/>
          <w:szCs w:val="21"/>
        </w:rPr>
        <w:t>（1） 确认条件</w:t>
      </w:r>
      <w:bookmarkEnd w:id="201"/>
    </w:p>
    <w:p w:rsidR="00E22F4C" w:rsidRDefault="00E22F4C">
      <w:pPr>
        <w:pStyle w:val="a4"/>
        <w:spacing w:line="560" w:lineRule="atLeast"/>
        <w:ind w:firstLine="408"/>
        <w:divId w:val="544408779"/>
        <w:rPr>
          <w:sz w:val="18"/>
          <w:szCs w:val="18"/>
        </w:rPr>
      </w:pPr>
      <w:r>
        <w:rPr>
          <w:rFonts w:hint="eastAsia"/>
          <w:sz w:val="18"/>
          <w:szCs w:val="18"/>
        </w:rPr>
        <w:t>同时满足与该固定资产有关的经济利益很可能流入企业和该固定资产的成本能够可靠地计量条件的，为生产商品、提供劳务、出租或经营管理而持有的使用寿命超过一个会计年度的有形资产。</w:t>
      </w:r>
    </w:p>
    <w:p w:rsidR="00E22F4C" w:rsidRDefault="00381575">
      <w:pPr>
        <w:keepNext/>
        <w:keepLines/>
        <w:spacing w:before="300" w:after="300" w:line="280" w:lineRule="exact"/>
        <w:outlineLvl w:val="3"/>
        <w:rPr>
          <w:rFonts w:ascii="宋体" w:eastAsia="宋体" w:hAnsi="宋体" w:cs="宋体"/>
          <w:b/>
          <w:bCs/>
          <w:szCs w:val="21"/>
        </w:rPr>
      </w:pPr>
      <w:bookmarkStart w:id="202" w:name="_Toc989091"/>
      <w:r>
        <w:rPr>
          <w:rFonts w:ascii="宋体" w:eastAsia="宋体" w:hAnsi="宋体" w:cs="宋体"/>
          <w:b/>
          <w:bCs/>
          <w:szCs w:val="21"/>
        </w:rPr>
        <w:t>（2） 折旧方法</w:t>
      </w:r>
      <w:bookmarkEnd w:id="202"/>
    </w:p>
    <w:p w:rsidR="00E22F4C" w:rsidRDefault="00E22F4C">
      <w:pPr>
        <w:spacing w:line="0" w:lineRule="atLeast"/>
      </w:pP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折旧方法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折旧年限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残值率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年折旧率</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房屋建筑物</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20-40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2.43%-4.85%</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机器设备</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5-10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9.70%-19.40%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运输设备</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5-10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9.70%-19.40%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办公设备</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2-10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9.70%-48.50%</w:t>
            </w:r>
          </w:p>
        </w:tc>
      </w:tr>
    </w:tbl>
    <w:p w:rsidR="00E22F4C" w:rsidRDefault="00E22F4C">
      <w:pPr>
        <w:divId w:val="1847553633"/>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03" w:name="_Toc989092"/>
      <w:r>
        <w:rPr>
          <w:rFonts w:ascii="宋体" w:eastAsia="宋体" w:hAnsi="宋体" w:cs="宋体"/>
          <w:b/>
          <w:bCs/>
          <w:szCs w:val="21"/>
        </w:rPr>
        <w:t>（3） 融资租入固定资产的认定依据、计价和折旧方法</w:t>
      </w:r>
      <w:bookmarkEnd w:id="203"/>
    </w:p>
    <w:p w:rsidR="00E22F4C" w:rsidRDefault="00E22F4C">
      <w:pPr>
        <w:divId w:val="244732735"/>
      </w:pPr>
    </w:p>
    <w:p w:rsidR="00E22F4C" w:rsidRDefault="00381575">
      <w:pPr>
        <w:pStyle w:val="3"/>
        <w:spacing w:line="280" w:lineRule="exact"/>
        <w:jc w:val="left"/>
        <w:rPr>
          <w:rFonts w:ascii="宋体" w:hAnsi="宋体" w:cs="宋体"/>
          <w:b/>
          <w:bCs/>
        </w:rPr>
      </w:pPr>
      <w:bookmarkStart w:id="204" w:name="_Toc989093"/>
      <w:r>
        <w:rPr>
          <w:rFonts w:ascii="宋体" w:hAnsi="宋体" w:cs="宋体"/>
          <w:b/>
          <w:bCs/>
        </w:rPr>
        <w:t>25、在建工程</w:t>
      </w:r>
      <w:bookmarkEnd w:id="204"/>
    </w:p>
    <w:p w:rsidR="00E22F4C" w:rsidRDefault="00E22F4C">
      <w:pPr>
        <w:pStyle w:val="a4"/>
        <w:spacing w:before="120" w:beforeAutospacing="0" w:after="0" w:afterAutospacing="0" w:line="420" w:lineRule="atLeast"/>
        <w:ind w:firstLine="424"/>
        <w:jc w:val="both"/>
        <w:divId w:val="1710185029"/>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）在建工程的类别</w:t>
      </w:r>
    </w:p>
    <w:p w:rsidR="00E22F4C" w:rsidRDefault="00E22F4C">
      <w:pPr>
        <w:pStyle w:val="a4"/>
        <w:spacing w:before="120" w:beforeAutospacing="0" w:after="0" w:afterAutospacing="0" w:line="420" w:lineRule="atLeast"/>
        <w:ind w:firstLine="424"/>
        <w:jc w:val="both"/>
        <w:divId w:val="1710185029"/>
        <w:rPr>
          <w:rFonts w:ascii="Times New Roman" w:hAnsi="Times New Roman" w:cs="Times New Roman"/>
          <w:sz w:val="21"/>
          <w:szCs w:val="21"/>
        </w:rPr>
      </w:pPr>
      <w:r>
        <w:rPr>
          <w:rFonts w:cs="Times New Roman" w:hint="eastAsia"/>
          <w:sz w:val="21"/>
          <w:szCs w:val="21"/>
        </w:rPr>
        <w:lastRenderedPageBreak/>
        <w:t>公司在建工程包括建筑工程、安装工程、技术改造工程和大修理工程等。</w:t>
      </w:r>
    </w:p>
    <w:p w:rsidR="00E22F4C" w:rsidRDefault="00E22F4C">
      <w:pPr>
        <w:pStyle w:val="a4"/>
        <w:spacing w:before="120" w:beforeAutospacing="0" w:after="0" w:afterAutospacing="0" w:line="420" w:lineRule="atLeast"/>
        <w:ind w:firstLine="424"/>
        <w:jc w:val="both"/>
        <w:divId w:val="1710185029"/>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）在建工程的计量</w:t>
      </w:r>
    </w:p>
    <w:p w:rsidR="00E22F4C" w:rsidRDefault="00E22F4C">
      <w:pPr>
        <w:pStyle w:val="a4"/>
        <w:spacing w:before="120" w:beforeAutospacing="0" w:after="0" w:afterAutospacing="0" w:line="420" w:lineRule="atLeast"/>
        <w:ind w:firstLine="424"/>
        <w:jc w:val="both"/>
        <w:divId w:val="1710185029"/>
        <w:rPr>
          <w:rFonts w:ascii="Times New Roman" w:hAnsi="Times New Roman" w:cs="Times New Roman"/>
          <w:sz w:val="21"/>
          <w:szCs w:val="21"/>
        </w:rPr>
      </w:pPr>
      <w:r>
        <w:rPr>
          <w:rFonts w:cs="Times New Roman" w:hint="eastAsia"/>
          <w:sz w:val="21"/>
          <w:szCs w:val="21"/>
        </w:rPr>
        <w:t>在建工程按实际成本计价，实际成本由建造该项资产达到预定可使用状态前所发生的必要支出构成，包括所发生的直接建筑、安装成本及所借入款项的实际承担的利息支出、汇兑损益等。</w:t>
      </w:r>
    </w:p>
    <w:p w:rsidR="00E22F4C" w:rsidRDefault="00E22F4C">
      <w:pPr>
        <w:pStyle w:val="a4"/>
        <w:spacing w:before="120" w:beforeAutospacing="0" w:after="0" w:afterAutospacing="0" w:line="420" w:lineRule="atLeast"/>
        <w:ind w:firstLine="420"/>
        <w:jc w:val="both"/>
        <w:divId w:val="1710185029"/>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）在建工程结转为固定资产的时点</w:t>
      </w:r>
    </w:p>
    <w:p w:rsidR="00E22F4C" w:rsidRDefault="00E22F4C">
      <w:pPr>
        <w:pStyle w:val="a4"/>
        <w:spacing w:before="120" w:beforeAutospacing="0" w:after="0" w:afterAutospacing="0" w:line="420" w:lineRule="atLeast"/>
        <w:ind w:firstLine="420"/>
        <w:jc w:val="both"/>
        <w:divId w:val="1710185029"/>
        <w:rPr>
          <w:rFonts w:ascii="Times New Roman" w:hAnsi="Times New Roman" w:cs="Times New Roman"/>
          <w:sz w:val="21"/>
          <w:szCs w:val="21"/>
        </w:rPr>
      </w:pPr>
      <w:r>
        <w:rPr>
          <w:rFonts w:cs="Times New Roman" w:hint="eastAsia"/>
          <w:sz w:val="21"/>
          <w:szCs w:val="21"/>
        </w:rPr>
        <w:t>在建工程按各项工程所发生的实际支出核算，在达到预定可使用状态时转作固定资产。所建造的固定资产已达到预定可使用状态，但尚未办理竣工决算手续的，自达到预定可使用状态之日起，根据工程预算、造价或者工程实际成本等，按估计的价值转入固定资产，并计提固定资产的折旧，待办理了竣工决算手续后再对原估计值进行调整。购建或者生产符合资本化条件的资产而借入的专门借款或占用了一般借款发生的借款利息以及专门借款发生的辅助费用，在所购建或者生产的符合资本化条件的资产达到预定可使用或者可销售状态之前根据其发生额予以资本化。</w:t>
      </w:r>
    </w:p>
    <w:p w:rsidR="00E22F4C" w:rsidRDefault="00E22F4C">
      <w:pPr>
        <w:pStyle w:val="a4"/>
        <w:spacing w:before="120" w:beforeAutospacing="0" w:after="0" w:afterAutospacing="0" w:line="440" w:lineRule="atLeast"/>
        <w:ind w:firstLine="420"/>
        <w:jc w:val="both"/>
        <w:divId w:val="1710185029"/>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4</w:t>
      </w:r>
      <w:r>
        <w:rPr>
          <w:rFonts w:cs="Times New Roman" w:hint="eastAsia"/>
          <w:sz w:val="21"/>
          <w:szCs w:val="21"/>
        </w:rPr>
        <w:t>）资产负债表日，有迹象表明在建工程发生减值的，按本财务报表附注五</w:t>
      </w:r>
      <w:r>
        <w:rPr>
          <w:rFonts w:ascii="Times New Roman" w:hAnsi="Times New Roman" w:cs="Times New Roman"/>
          <w:sz w:val="21"/>
          <w:szCs w:val="21"/>
        </w:rPr>
        <w:t>-31</w:t>
      </w:r>
      <w:r>
        <w:rPr>
          <w:rFonts w:cs="Times New Roman" w:hint="eastAsia"/>
          <w:sz w:val="21"/>
          <w:szCs w:val="21"/>
        </w:rPr>
        <w:t>所述方法计提在建工程减值准备。在建工程减值损失一经确认，在以后会计期间不再转回。</w:t>
      </w:r>
    </w:p>
    <w:p w:rsidR="00E22F4C" w:rsidRDefault="00381575">
      <w:pPr>
        <w:pStyle w:val="3"/>
        <w:spacing w:line="280" w:lineRule="exact"/>
        <w:jc w:val="left"/>
        <w:rPr>
          <w:rFonts w:ascii="宋体" w:hAnsi="宋体" w:cs="宋体"/>
          <w:b/>
          <w:bCs/>
        </w:rPr>
      </w:pPr>
      <w:bookmarkStart w:id="205" w:name="_Toc989094"/>
      <w:r>
        <w:rPr>
          <w:rFonts w:ascii="宋体" w:hAnsi="宋体" w:cs="宋体"/>
          <w:b/>
          <w:bCs/>
        </w:rPr>
        <w:t>26、借款费用</w:t>
      </w:r>
      <w:bookmarkEnd w:id="205"/>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）借款费用资本化的确认原则</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cs="Times New Roman" w:hint="eastAsia"/>
          <w:sz w:val="21"/>
          <w:szCs w:val="21"/>
        </w:rPr>
        <w:t>借款费用包括借款利息、折价或者溢价的摊销、辅助费用以及因外币借款而发生的汇兑差额等。公司发生的借款费用，可直接归属于符合资本化条件的资产的购建或者生产的，予以资本化，计入相关资产成本；其他借款费用，在发生时根据其发生额确认为费用，计入当期损益。</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cs="Times New Roman" w:hint="eastAsia"/>
          <w:sz w:val="21"/>
          <w:szCs w:val="21"/>
        </w:rPr>
        <w:t>借款费用同时满足下列条件的，才能开始资本化：</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、资产支出已经发生，资产支出包括为购建或者生产符合资本化条件的资产而以支付现金、转移非现金资产或者承担带息债务形式发生的支出。</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、借款费用已经发生。</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、为使资产达到预定可使用或者可销售状态所必要的购建或者生产活动已经开始。</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）借款费用资本化期间</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cs="Times New Roman" w:hint="eastAsia"/>
          <w:sz w:val="21"/>
          <w:szCs w:val="21"/>
        </w:rPr>
        <w:t>为购建或者生产符合资本化条件的资产而发生的借款费用，在该资产达到预定可使用或者可销售状态前计入该资产的成本；在该资产达到预定可使用或者可销售状态后发生的借款费用计入当期损益。符</w:t>
      </w:r>
      <w:r>
        <w:rPr>
          <w:rFonts w:cs="Times New Roman" w:hint="eastAsia"/>
          <w:sz w:val="21"/>
          <w:szCs w:val="21"/>
        </w:rPr>
        <w:lastRenderedPageBreak/>
        <w:t>合资本化条件的资产在购建或者生产过程中发生非正常中断、且中断时间连续超过</w:t>
      </w:r>
      <w:r>
        <w:rPr>
          <w:rFonts w:ascii="Times New Roman" w:hAnsi="Times New Roman" w:cs="Times New Roman"/>
          <w:sz w:val="21"/>
          <w:szCs w:val="21"/>
        </w:rPr>
        <w:t xml:space="preserve">3 </w:t>
      </w:r>
      <w:r>
        <w:rPr>
          <w:rFonts w:cs="Times New Roman" w:hint="eastAsia"/>
          <w:sz w:val="21"/>
          <w:szCs w:val="21"/>
        </w:rPr>
        <w:t>个月的，暂停借款费用的资本化。借款费用暂停资本化的期间不包括在内。</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）借款费用资本化金额的计算方法</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cs="Times New Roman" w:hint="eastAsia"/>
          <w:sz w:val="21"/>
          <w:szCs w:val="21"/>
        </w:rPr>
        <w:t>在资本化期间内，每一会计期间的利息（包括折价或溢价的摊销）资本化金额，按照下列规定确定：</w:t>
      </w:r>
    </w:p>
    <w:p w:rsidR="00E22F4C" w:rsidRDefault="00E22F4C">
      <w:pPr>
        <w:pStyle w:val="a4"/>
        <w:spacing w:before="120" w:beforeAutospacing="0" w:after="0" w:afterAutospacing="0" w:line="440" w:lineRule="atLeast"/>
        <w:ind w:firstLine="420"/>
        <w:jc w:val="both"/>
        <w:divId w:val="1712069208"/>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、为购建或者生产符合资本化条件的资产而借入专门借款的，以专门借款当期实际发生的利息费用，减去将尚未动用的借款资金存入银行取得的利息收入或进行暂时性投资取得的投资收益后的金额确定。</w:t>
      </w:r>
    </w:p>
    <w:p w:rsidR="00E22F4C" w:rsidRDefault="00E22F4C">
      <w:pPr>
        <w:pStyle w:val="a4"/>
        <w:spacing w:before="120" w:beforeAutospacing="0" w:after="0" w:afterAutospacing="0" w:line="480" w:lineRule="atLeast"/>
        <w:ind w:firstLine="420"/>
        <w:jc w:val="both"/>
        <w:divId w:val="1712069208"/>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购建或者生产符合资本化条件的资产而占用了一般借款的，根据累计资产支出超过专门借款部分的资产支出加权平均数乘以所占用一般借款的资本化率，计算确定一般借款应予资本化的利息金额。资本化率根据一般借款加权平均利率计算确定。</w:t>
      </w:r>
    </w:p>
    <w:p w:rsidR="00E22F4C" w:rsidRDefault="00381575">
      <w:pPr>
        <w:pStyle w:val="3"/>
        <w:spacing w:line="280" w:lineRule="exact"/>
        <w:jc w:val="left"/>
        <w:rPr>
          <w:rFonts w:ascii="宋体" w:hAnsi="宋体" w:cs="宋体"/>
          <w:b/>
          <w:bCs/>
        </w:rPr>
      </w:pPr>
      <w:bookmarkStart w:id="206" w:name="_Toc989095"/>
      <w:r>
        <w:rPr>
          <w:rFonts w:ascii="宋体" w:hAnsi="宋体" w:cs="宋体"/>
          <w:b/>
          <w:bCs/>
        </w:rPr>
        <w:t>27、生物资产</w:t>
      </w:r>
      <w:bookmarkEnd w:id="206"/>
    </w:p>
    <w:p w:rsidR="00E22F4C" w:rsidRDefault="00E22F4C">
      <w:pPr>
        <w:divId w:val="2070417985"/>
        <w:rPr>
          <w:sz w:val="18"/>
          <w:szCs w:val="18"/>
        </w:rPr>
      </w:pPr>
    </w:p>
    <w:p w:rsidR="00E22F4C" w:rsidRDefault="00381575">
      <w:pPr>
        <w:pStyle w:val="3"/>
        <w:spacing w:line="280" w:lineRule="exact"/>
        <w:jc w:val="left"/>
        <w:rPr>
          <w:rFonts w:ascii="宋体" w:hAnsi="宋体" w:cs="宋体"/>
          <w:b/>
          <w:bCs/>
        </w:rPr>
      </w:pPr>
      <w:bookmarkStart w:id="207" w:name="_Toc989096"/>
      <w:r>
        <w:rPr>
          <w:rFonts w:ascii="宋体" w:hAnsi="宋体" w:cs="宋体"/>
          <w:b/>
          <w:bCs/>
        </w:rPr>
        <w:t>28、油气资产</w:t>
      </w:r>
      <w:bookmarkEnd w:id="207"/>
    </w:p>
    <w:p w:rsidR="00E22F4C" w:rsidRDefault="00E22F4C">
      <w:pPr>
        <w:divId w:val="2123457083"/>
        <w:rPr>
          <w:sz w:val="18"/>
          <w:szCs w:val="18"/>
        </w:rPr>
      </w:pPr>
    </w:p>
    <w:p w:rsidR="00E22F4C" w:rsidRDefault="00381575">
      <w:pPr>
        <w:pStyle w:val="3"/>
        <w:spacing w:line="280" w:lineRule="exact"/>
        <w:jc w:val="left"/>
        <w:rPr>
          <w:rFonts w:ascii="宋体" w:hAnsi="宋体" w:cs="宋体"/>
          <w:b/>
          <w:bCs/>
        </w:rPr>
      </w:pPr>
      <w:bookmarkStart w:id="208" w:name="_Toc989097"/>
      <w:r>
        <w:rPr>
          <w:rFonts w:ascii="宋体" w:hAnsi="宋体" w:cs="宋体"/>
          <w:b/>
          <w:bCs/>
        </w:rPr>
        <w:t>29、使用权资产</w:t>
      </w:r>
      <w:bookmarkEnd w:id="208"/>
    </w:p>
    <w:p w:rsidR="00E22F4C" w:rsidRDefault="00E22F4C">
      <w:pPr>
        <w:pStyle w:val="a4"/>
        <w:spacing w:before="120" w:beforeAutospacing="0" w:after="0" w:afterAutospacing="0" w:line="480" w:lineRule="atLeast"/>
        <w:ind w:firstLine="420"/>
        <w:jc w:val="both"/>
        <w:divId w:val="1989435841"/>
        <w:rPr>
          <w:rFonts w:ascii="Times New Roman" w:hAnsi="Times New Roman" w:cs="Times New Roman"/>
          <w:sz w:val="21"/>
          <w:szCs w:val="21"/>
        </w:rPr>
      </w:pPr>
      <w:r>
        <w:rPr>
          <w:rFonts w:cs="Times New Roman" w:hint="eastAsia"/>
          <w:sz w:val="21"/>
          <w:szCs w:val="21"/>
        </w:rPr>
        <w:t>在租赁期开始日，公司将其可在租赁期内使用租赁资产的权利确认为使用权资产，包括：租赁负债的初始计量金额；在租赁期开始日或之前支付的租赁付款额，存在租赁激励的，扣除已享受的租赁激励相关金额；承租人发生的初始直接费用；承租人为拆卸及移除租赁资产、复原租赁资产所在场地或将租赁资产恢复至租赁条款约定状态预计将发生的成本。公司后续采用年限平均法对使用权资产计提折旧，能够合理确定租赁期届满时取得租赁资产所有权的，公司在租赁资产剩余使用寿命内计提折旧；无法合理确定租赁期届满时能够取得租赁资产所有权的，公司在租赁期与租赁资产剩余使用寿命两者孰短的期间内计提折旧。</w:t>
      </w:r>
    </w:p>
    <w:p w:rsidR="00E22F4C" w:rsidRDefault="00E22F4C">
      <w:pPr>
        <w:pStyle w:val="a4"/>
        <w:spacing w:before="120" w:beforeAutospacing="0" w:after="0" w:afterAutospacing="0" w:line="480" w:lineRule="atLeast"/>
        <w:ind w:firstLine="420"/>
        <w:jc w:val="both"/>
        <w:divId w:val="1989435841"/>
        <w:rPr>
          <w:rFonts w:ascii="Times New Roman" w:hAnsi="Times New Roman" w:cs="Times New Roman"/>
          <w:sz w:val="21"/>
          <w:szCs w:val="21"/>
        </w:rPr>
      </w:pPr>
      <w:r>
        <w:rPr>
          <w:rFonts w:cs="Times New Roman" w:hint="eastAsia"/>
          <w:sz w:val="21"/>
          <w:szCs w:val="21"/>
        </w:rPr>
        <w:t>公司按照变动后的租赁付款额的现值重新计量租赁负债，并相应调整使用权资产的账面价值时，如使用权资产账面价值已调减至零，但租赁负债仍需进一步调减的，公司将剩余金额计入当期损益。</w:t>
      </w:r>
    </w:p>
    <w:p w:rsidR="00E22F4C" w:rsidRDefault="00381575">
      <w:pPr>
        <w:pStyle w:val="3"/>
        <w:spacing w:line="280" w:lineRule="exact"/>
        <w:jc w:val="left"/>
        <w:rPr>
          <w:rFonts w:ascii="宋体" w:hAnsi="宋体" w:cs="宋体"/>
          <w:b/>
          <w:bCs/>
        </w:rPr>
      </w:pPr>
      <w:bookmarkStart w:id="209" w:name="_Toc989098"/>
      <w:r>
        <w:rPr>
          <w:rFonts w:ascii="宋体" w:hAnsi="宋体" w:cs="宋体"/>
          <w:b/>
          <w:bCs/>
        </w:rPr>
        <w:lastRenderedPageBreak/>
        <w:t>30、无形资产</w:t>
      </w:r>
      <w:bookmarkEnd w:id="209"/>
    </w:p>
    <w:p w:rsidR="00E22F4C" w:rsidRDefault="00381575">
      <w:pPr>
        <w:keepNext/>
        <w:keepLines/>
        <w:spacing w:before="300" w:after="300" w:line="280" w:lineRule="exact"/>
        <w:outlineLvl w:val="3"/>
        <w:rPr>
          <w:rFonts w:ascii="宋体" w:eastAsia="宋体" w:hAnsi="宋体" w:cs="宋体"/>
          <w:b/>
          <w:bCs/>
          <w:szCs w:val="21"/>
        </w:rPr>
      </w:pPr>
      <w:bookmarkStart w:id="210" w:name="_Toc989099"/>
      <w:r>
        <w:rPr>
          <w:rFonts w:ascii="宋体" w:eastAsia="宋体" w:hAnsi="宋体" w:cs="宋体"/>
          <w:b/>
          <w:bCs/>
          <w:szCs w:val="21"/>
        </w:rPr>
        <w:t>（1） 计价方法、使用寿命、减值测试</w:t>
      </w:r>
      <w:bookmarkEnd w:id="210"/>
    </w:p>
    <w:p w:rsidR="00E22F4C" w:rsidRDefault="00E22F4C">
      <w:pPr>
        <w:pStyle w:val="a4"/>
        <w:spacing w:before="120" w:beforeAutospacing="0" w:after="0" w:afterAutospacing="0" w:line="480" w:lineRule="atLeast"/>
        <w:ind w:firstLine="420"/>
        <w:jc w:val="both"/>
        <w:divId w:val="569340774"/>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）无形资产计价：</w:t>
      </w:r>
    </w:p>
    <w:p w:rsidR="00E22F4C" w:rsidRDefault="00E22F4C">
      <w:pPr>
        <w:pStyle w:val="a4"/>
        <w:spacing w:before="120" w:beforeAutospacing="0" w:after="0" w:afterAutospacing="0" w:line="48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、外购无形资产的成本，按使该项资产达到预定用途所发生的实际支出计价。</w:t>
      </w:r>
    </w:p>
    <w:p w:rsidR="00E22F4C" w:rsidRDefault="00E22F4C">
      <w:pPr>
        <w:pStyle w:val="a4"/>
        <w:spacing w:before="120" w:beforeAutospacing="0" w:after="0" w:afterAutospacing="0" w:line="48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公司内部研究开发项目的支出，区分研究阶段支出与开发阶段支出。研究阶段支出是指公司为获取并理解新的科学或技术知识而进行的独创性的有计划调查而发生的支出。公司内部研究开发项目研究阶段的支出，于发生时计入当期损益。</w:t>
      </w:r>
    </w:p>
    <w:p w:rsidR="00E22F4C" w:rsidRDefault="00E22F4C">
      <w:pPr>
        <w:pStyle w:val="a4"/>
        <w:spacing w:before="120" w:beforeAutospacing="0" w:after="0" w:afterAutospacing="0" w:line="480" w:lineRule="atLeast"/>
        <w:ind w:firstLine="420"/>
        <w:jc w:val="both"/>
        <w:divId w:val="569340774"/>
        <w:rPr>
          <w:rFonts w:ascii="Times New Roman" w:hAnsi="Times New Roman" w:cs="Times New Roman"/>
          <w:sz w:val="21"/>
          <w:szCs w:val="21"/>
        </w:rPr>
      </w:pPr>
      <w:r>
        <w:rPr>
          <w:rFonts w:cs="Times New Roman" w:hint="eastAsia"/>
          <w:sz w:val="21"/>
          <w:szCs w:val="21"/>
        </w:rPr>
        <w:t>开发阶段支出是指在进行商业性生产或使用前，将研究成果或其他知识应用于某项计划或设计，以生产出新的或具有实质性改进的材料、装置、产品等发生的支出。开发阶段的支出，只有在同时满足下列条件时，才能予以资本化，即：</w:t>
      </w:r>
      <w:r>
        <w:rPr>
          <w:rFonts w:ascii="Times New Roman" w:hAnsi="Times New Roman" w:cs="Times New Roman"/>
          <w:sz w:val="21"/>
          <w:szCs w:val="21"/>
        </w:rPr>
        <w:t>a</w:t>
      </w:r>
      <w:r>
        <w:rPr>
          <w:rFonts w:cs="Times New Roman" w:hint="eastAsia"/>
          <w:sz w:val="21"/>
          <w:szCs w:val="21"/>
        </w:rPr>
        <w:t>、完成该无形资产以使其能够使用或出售在技术上具有可行性；</w:t>
      </w:r>
      <w:r>
        <w:rPr>
          <w:rFonts w:ascii="Times New Roman" w:hAnsi="Times New Roman" w:cs="Times New Roman"/>
          <w:sz w:val="21"/>
          <w:szCs w:val="21"/>
        </w:rPr>
        <w:t>b</w:t>
      </w:r>
      <w:r>
        <w:rPr>
          <w:rFonts w:cs="Times New Roman" w:hint="eastAsia"/>
          <w:sz w:val="21"/>
          <w:szCs w:val="21"/>
        </w:rPr>
        <w:t>、具有完成该无形资产并使用或出售的意图；</w:t>
      </w:r>
      <w:r>
        <w:rPr>
          <w:rFonts w:ascii="Times New Roman" w:hAnsi="Times New Roman" w:cs="Times New Roman"/>
          <w:sz w:val="21"/>
          <w:szCs w:val="21"/>
        </w:rPr>
        <w:t>c</w:t>
      </w:r>
      <w:r>
        <w:rPr>
          <w:rFonts w:cs="Times New Roman" w:hint="eastAsia"/>
          <w:sz w:val="21"/>
          <w:szCs w:val="21"/>
        </w:rPr>
        <w:t>、无形资产产生经济利益的方式，包括能够证明运用该无形资产生产的产品存在市场或无形资产自身存在市场，无形资产将在内部使用的，证明其有用性；</w:t>
      </w:r>
      <w:r>
        <w:rPr>
          <w:rFonts w:ascii="Times New Roman" w:hAnsi="Times New Roman" w:cs="Times New Roman"/>
          <w:sz w:val="21"/>
          <w:szCs w:val="21"/>
        </w:rPr>
        <w:t>d</w:t>
      </w:r>
      <w:r>
        <w:rPr>
          <w:rFonts w:cs="Times New Roman" w:hint="eastAsia"/>
          <w:sz w:val="21"/>
          <w:szCs w:val="21"/>
        </w:rPr>
        <w:t>、有足够的技术、财务资源和其他资源支持，以完成该无形资产的开发，并有能力使用或出售该无形资产；</w:t>
      </w:r>
      <w:r>
        <w:rPr>
          <w:rFonts w:ascii="Times New Roman" w:hAnsi="Times New Roman" w:cs="Times New Roman"/>
          <w:sz w:val="21"/>
          <w:szCs w:val="21"/>
        </w:rPr>
        <w:t>e</w:t>
      </w:r>
      <w:r>
        <w:rPr>
          <w:rFonts w:cs="Times New Roman" w:hint="eastAsia"/>
          <w:sz w:val="21"/>
          <w:szCs w:val="21"/>
        </w:rPr>
        <w:t>、归属于该无形资产开发阶段的支出能够可靠地计量。不满足上述条件的开发支出，于发生时计入当期损益。</w:t>
      </w:r>
    </w:p>
    <w:p w:rsidR="00E22F4C" w:rsidRDefault="00E22F4C">
      <w:pPr>
        <w:pStyle w:val="a4"/>
        <w:spacing w:before="120" w:beforeAutospacing="0" w:after="0" w:afterAutospacing="0" w:line="48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、投资者投入的无形资产，按照投资合同或协议约定的价值作为成本，但合同或协议约定价值不公允的除外。</w:t>
      </w:r>
    </w:p>
    <w:p w:rsidR="00E22F4C" w:rsidRDefault="00E22F4C">
      <w:pPr>
        <w:pStyle w:val="a4"/>
        <w:spacing w:before="120" w:beforeAutospacing="0" w:after="0" w:afterAutospacing="0" w:line="48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D</w:t>
      </w:r>
      <w:r>
        <w:rPr>
          <w:rFonts w:cs="Times New Roman" w:hint="eastAsia"/>
          <w:sz w:val="21"/>
          <w:szCs w:val="21"/>
        </w:rPr>
        <w:t>、接受债务人以非现金资产抵偿债务方式取得的无形资产，或以应收债权换入无形资产的，按换入无形资产的公允价值入账。</w:t>
      </w:r>
    </w:p>
    <w:p w:rsidR="00E22F4C" w:rsidRDefault="00E22F4C">
      <w:pPr>
        <w:pStyle w:val="a4"/>
        <w:spacing w:before="120" w:beforeAutospacing="0" w:after="0" w:afterAutospacing="0" w:line="48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E</w:t>
      </w:r>
      <w:r>
        <w:rPr>
          <w:rFonts w:cs="Times New Roman" w:hint="eastAsia"/>
          <w:sz w:val="21"/>
          <w:szCs w:val="21"/>
        </w:rPr>
        <w:t>、非货币性交易投入的无形资产，以该项无形资产的公允价值和应支付的相关税费作为入账成本。</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F</w:t>
      </w:r>
      <w:r>
        <w:rPr>
          <w:rFonts w:cs="Times New Roman" w:hint="eastAsia"/>
          <w:sz w:val="21"/>
          <w:szCs w:val="21"/>
        </w:rPr>
        <w:t>、接受捐赠的无形资产，捐赠方提供了有关凭据的，按凭据上标明的金额加上应支付的相关税费计价；捐赠方没有提供有关凭据的，如果同类或类似无形资产存在活跃市场的，按同类或类似无形资产的市场价格估计的金额，加上应支付的相关税费，作为实际成本；如果同类或类似无形资产不存在活跃市场的，按接受捐赠的无形资产的预计未来现金流量现值，作为实际成本；自行开发并按法律程序申请取得的无形资产，按依法取得时发生的注册费，聘请律师费等费用，作为实际成本。</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）无形资产的后续计量</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、无形资产使用寿命的估计</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cs="Times New Roman" w:hint="eastAsia"/>
          <w:sz w:val="21"/>
          <w:szCs w:val="21"/>
        </w:rPr>
        <w:lastRenderedPageBreak/>
        <w:t>公司拥有或者控制的来源于合同性权利或其他法定权利的无形资产，其使用寿命不超过合同性权利或其他法定权利的期限；合同性权利或其他法定权利在到期时因续约等延续、且有证据表明公司续约不需要付出大额成本的，续约期计入使用寿命；合同或法律没有规定使用寿命的，无形资产的使用寿命参考历史经验或聘请相关专家进行论证等确定。按照上述方法仍无法合理确定无形资产为公司带来经济利益期限的，公司将该项无形资产作为使用寿命不确定的无形资产。</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、无形资产使用寿命的复核</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cs="Times New Roman" w:hint="eastAsia"/>
          <w:sz w:val="21"/>
          <w:szCs w:val="21"/>
        </w:rPr>
        <w:t>公司至少于每年年度终了时，对无形资产的使用寿命及摊销方法进行复核。必要时进行调整。</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、无形资产的摊销</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cs="Times New Roman" w:hint="eastAsia"/>
          <w:sz w:val="21"/>
          <w:szCs w:val="21"/>
        </w:rPr>
        <w:t>公司对于使用寿命有限的无形资产，自取得当月起在预计使用寿命内采用直线法分期摊销。使用寿命不确定的无形资产不摊销，每年末均进行减值测试。无形资产的应摊销金额为其成本扣除预计残值后的金额。已计提减值准备的无形资产，还应扣除已计提的无形资产减值准备累计金额。无形资产的摊销金额计入当期损益。使用寿命不确定的无形资产不摊销，期末进行减值测试。</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）无形资产减值准备</w:t>
      </w:r>
    </w:p>
    <w:p w:rsidR="00E22F4C" w:rsidRDefault="00E22F4C">
      <w:pPr>
        <w:pStyle w:val="a4"/>
        <w:spacing w:before="120" w:beforeAutospacing="0" w:after="0" w:afterAutospacing="0" w:line="440" w:lineRule="atLeast"/>
        <w:ind w:firstLine="420"/>
        <w:jc w:val="both"/>
        <w:divId w:val="569340774"/>
        <w:rPr>
          <w:rFonts w:ascii="Times New Roman" w:hAnsi="Times New Roman" w:cs="Times New Roman"/>
          <w:sz w:val="21"/>
          <w:szCs w:val="21"/>
        </w:rPr>
      </w:pPr>
      <w:r>
        <w:rPr>
          <w:rFonts w:cs="Times New Roman" w:hint="eastAsia"/>
          <w:sz w:val="21"/>
          <w:szCs w:val="21"/>
        </w:rPr>
        <w:t>资产负债表日，有迹象表明无形资产发生减值的，按本财务报表附注五</w:t>
      </w:r>
      <w:r>
        <w:rPr>
          <w:rFonts w:ascii="Times New Roman" w:hAnsi="Times New Roman" w:cs="Times New Roman"/>
          <w:sz w:val="21"/>
          <w:szCs w:val="21"/>
        </w:rPr>
        <w:t>-31</w:t>
      </w:r>
      <w:r>
        <w:rPr>
          <w:rFonts w:cs="Times New Roman" w:hint="eastAsia"/>
          <w:sz w:val="21"/>
          <w:szCs w:val="21"/>
        </w:rPr>
        <w:t>所述方法计提无形资产减值准备。无形资产减值损失一经确认，在以后会计期间不再转回。</w:t>
      </w:r>
    </w:p>
    <w:p w:rsidR="00E22F4C" w:rsidRDefault="00381575">
      <w:pPr>
        <w:keepNext/>
        <w:keepLines/>
        <w:spacing w:before="300" w:after="300" w:line="280" w:lineRule="exact"/>
        <w:outlineLvl w:val="3"/>
        <w:rPr>
          <w:rFonts w:ascii="宋体" w:eastAsia="宋体" w:hAnsi="宋体" w:cs="宋体"/>
          <w:b/>
          <w:bCs/>
          <w:szCs w:val="21"/>
        </w:rPr>
      </w:pPr>
      <w:bookmarkStart w:id="211" w:name="_Toc989100"/>
      <w:r>
        <w:rPr>
          <w:rFonts w:ascii="宋体" w:eastAsia="宋体" w:hAnsi="宋体" w:cs="宋体"/>
          <w:b/>
          <w:bCs/>
          <w:szCs w:val="21"/>
        </w:rPr>
        <w:t>（2） 内部研究开发支出会计政策</w:t>
      </w:r>
      <w:bookmarkEnd w:id="211"/>
    </w:p>
    <w:p w:rsidR="00E22F4C" w:rsidRDefault="00E22F4C">
      <w:pPr>
        <w:divId w:val="639312380"/>
        <w:rPr>
          <w:sz w:val="18"/>
          <w:szCs w:val="18"/>
        </w:rPr>
      </w:pPr>
      <w:r>
        <w:rPr>
          <w:rFonts w:ascii="䅂䍄䕅⯋컌" w:eastAsia="䅂䍄䕅⯋컌" w:hint="eastAsia"/>
          <w:color w:val="000000"/>
          <w:szCs w:val="21"/>
        </w:rPr>
        <w:t> </w:t>
      </w:r>
      <w:r>
        <w:rPr>
          <w:rFonts w:ascii="䅂䍄䕅⯋컌" w:eastAsia="䅂䍄䕅⯋컌" w:hint="eastAsia"/>
          <w:color w:val="000000"/>
          <w:szCs w:val="21"/>
        </w:rPr>
        <w:t xml:space="preserve"> </w:t>
      </w:r>
      <w:r>
        <w:rPr>
          <w:rFonts w:ascii="䅂䍄䕅⯋컌" w:eastAsia="䅂䍄䕅⯋컌" w:hint="eastAsia"/>
          <w:color w:val="000000"/>
          <w:szCs w:val="21"/>
        </w:rPr>
        <w:t> </w:t>
      </w:r>
      <w:r>
        <w:rPr>
          <w:rFonts w:ascii="䅂䍄䕅⯋컌" w:eastAsia="䅂䍄䕅⯋컌" w:hint="eastAsia"/>
          <w:color w:val="000000"/>
          <w:szCs w:val="21"/>
        </w:rPr>
        <w:t xml:space="preserve"> </w:t>
      </w:r>
      <w:r>
        <w:rPr>
          <w:rFonts w:ascii="䅂䍄䕅⯋컌" w:eastAsia="䅂䍄䕅⯋컌" w:hint="eastAsia"/>
          <w:color w:val="000000"/>
          <w:szCs w:val="21"/>
        </w:rPr>
        <w:t> </w:t>
      </w:r>
      <w:r>
        <w:rPr>
          <w:rFonts w:ascii="䅂䍄䕅⯋컌" w:eastAsia="䅂䍄䕅⯋컌" w:hint="eastAsia"/>
          <w:color w:val="000000"/>
          <w:szCs w:val="21"/>
        </w:rPr>
        <w:t xml:space="preserve"> </w:t>
      </w:r>
      <w:r>
        <w:rPr>
          <w:rFonts w:ascii="䅂䍄䕅⯋컌" w:eastAsia="䅂䍄䕅⯋컌" w:hint="eastAsia"/>
          <w:color w:val="000000"/>
          <w:szCs w:val="21"/>
        </w:rPr>
        <w:t> </w:t>
      </w:r>
      <w:r>
        <w:rPr>
          <w:rFonts w:ascii="䅂䍄䕅⯋컌" w:eastAsia="䅂䍄䕅⯋컌" w:hint="eastAsia"/>
          <w:color w:val="000000"/>
          <w:szCs w:val="21"/>
        </w:rPr>
        <w:t xml:space="preserve">公司内部研究开发项目的支出，区分研究阶段支出与开发阶段支出。研究阶段支出是指公司为获取并理解新的科学或技术知识而进行的独创性的有计划调查而发生的支出。公司内部研究开发项目研究阶段的支出，于发生时计入当期损益。 </w:t>
      </w:r>
    </w:p>
    <w:p w:rsidR="00E22F4C" w:rsidRDefault="00E22F4C">
      <w:pPr>
        <w:divId w:val="1680087150"/>
        <w:rPr>
          <w:sz w:val="18"/>
          <w:szCs w:val="18"/>
        </w:rPr>
      </w:pPr>
      <w:r>
        <w:rPr>
          <w:rFonts w:ascii="䅂䍄䕅⯋컌" w:eastAsia="䅂䍄䕅⯋컌" w:hint="eastAsia"/>
          <w:color w:val="000000"/>
          <w:szCs w:val="21"/>
        </w:rPr>
        <w:t> </w:t>
      </w:r>
      <w:r>
        <w:rPr>
          <w:rFonts w:ascii="䅂䍄䕅⯋컌" w:eastAsia="䅂䍄䕅⯋컌" w:hint="eastAsia"/>
          <w:color w:val="000000"/>
          <w:szCs w:val="21"/>
        </w:rPr>
        <w:t xml:space="preserve"> </w:t>
      </w:r>
      <w:r>
        <w:rPr>
          <w:rFonts w:ascii="䅂䍄䕅⯋컌" w:eastAsia="䅂䍄䕅⯋컌" w:hint="eastAsia"/>
          <w:color w:val="000000"/>
          <w:szCs w:val="21"/>
        </w:rPr>
        <w:t> </w:t>
      </w:r>
      <w:r>
        <w:rPr>
          <w:rFonts w:ascii="䅂䍄䕅⯋컌" w:eastAsia="䅂䍄䕅⯋컌" w:hint="eastAsia"/>
          <w:color w:val="000000"/>
          <w:szCs w:val="21"/>
        </w:rPr>
        <w:t xml:space="preserve"> </w:t>
      </w:r>
      <w:r>
        <w:rPr>
          <w:rFonts w:ascii="䅂䍄䕅⯋컌" w:eastAsia="䅂䍄䕅⯋컌" w:hint="eastAsia"/>
          <w:color w:val="000000"/>
          <w:szCs w:val="21"/>
        </w:rPr>
        <w:t> </w:t>
      </w:r>
      <w:r>
        <w:rPr>
          <w:rFonts w:ascii="䅂䍄䕅⯋컌" w:eastAsia="䅂䍄䕅⯋컌" w:hint="eastAsia"/>
          <w:color w:val="000000"/>
          <w:szCs w:val="21"/>
        </w:rPr>
        <w:t xml:space="preserve"> </w:t>
      </w:r>
      <w:r>
        <w:rPr>
          <w:rFonts w:ascii="䅂䍄䕅⯋컌" w:eastAsia="䅂䍄䕅⯋컌" w:hint="eastAsia"/>
          <w:color w:val="000000"/>
          <w:szCs w:val="21"/>
        </w:rPr>
        <w:t> </w:t>
      </w:r>
      <w:r>
        <w:rPr>
          <w:rFonts w:ascii="䅂䍄䕅⯋컌" w:eastAsia="䅂䍄䕅⯋컌" w:hint="eastAsia"/>
          <w:color w:val="000000"/>
          <w:szCs w:val="21"/>
        </w:rPr>
        <w:t>开发阶段支出是指在进行商业性生产或使用前，将研究成果或其他知识应用于某项计划或设计，以生产出新的或具有实质性改进的材料、装置、产品等发生的支出。开发阶段的支出，只有在同时满足下列条件时，才能予以资本化，即：</w:t>
      </w:r>
      <w:r>
        <w:rPr>
          <w:rFonts w:ascii="Times New Roman" w:hAnsi="Times New Roman" w:cs="Times New Roman"/>
          <w:color w:val="000000"/>
          <w:szCs w:val="21"/>
        </w:rPr>
        <w:t>a</w:t>
      </w:r>
      <w:r>
        <w:rPr>
          <w:rFonts w:ascii="䅂䍄䕅⯋컌" w:eastAsia="䅂䍄䕅⯋컌" w:hint="eastAsia"/>
          <w:color w:val="000000"/>
          <w:szCs w:val="21"/>
        </w:rPr>
        <w:t>、完成该无形资产以使其能够使用或出售在技术上具有可行性；</w:t>
      </w:r>
      <w:r>
        <w:rPr>
          <w:rFonts w:ascii="Times New Roman" w:hAnsi="Times New Roman" w:cs="Times New Roman"/>
          <w:color w:val="000000"/>
          <w:szCs w:val="21"/>
        </w:rPr>
        <w:t>b</w:t>
      </w:r>
      <w:r>
        <w:rPr>
          <w:rFonts w:ascii="䅂䍄䕅⯋컌" w:eastAsia="䅂䍄䕅⯋컌" w:hint="eastAsia"/>
          <w:color w:val="000000"/>
          <w:szCs w:val="21"/>
        </w:rPr>
        <w:t>、具有完成该无形资产并使用或出售的意图；</w:t>
      </w:r>
      <w:r>
        <w:rPr>
          <w:rFonts w:ascii="Times New Roman" w:hAnsi="Times New Roman" w:cs="Times New Roman"/>
          <w:color w:val="000000"/>
          <w:szCs w:val="21"/>
        </w:rPr>
        <w:t>c</w:t>
      </w:r>
      <w:r>
        <w:rPr>
          <w:rFonts w:ascii="䅂䍄䕅⯋컌" w:eastAsia="䅂䍄䕅⯋컌" w:hint="eastAsia"/>
          <w:color w:val="000000"/>
          <w:szCs w:val="21"/>
        </w:rPr>
        <w:t>、无形资产产生经济利益的方式，包括能够证明运用该无形资产生产的产品存在市场或无形资产自身存在市场，无形资产将在内部使用的，证明其有用性；</w:t>
      </w:r>
      <w:r>
        <w:rPr>
          <w:rFonts w:ascii="Times New Roman" w:hAnsi="Times New Roman" w:cs="Times New Roman"/>
          <w:color w:val="000000"/>
          <w:szCs w:val="21"/>
        </w:rPr>
        <w:t>d</w:t>
      </w:r>
      <w:r>
        <w:rPr>
          <w:rFonts w:ascii="䅂䍄䕅⯋컌" w:eastAsia="䅂䍄䕅⯋컌" w:hint="eastAsia"/>
          <w:color w:val="000000"/>
          <w:szCs w:val="21"/>
        </w:rPr>
        <w:t>、有足够的技术、财务资源和其他资源支持，以完成该无形资产的开发，并有能力使用或出售该无形资产；</w:t>
      </w:r>
      <w:r>
        <w:rPr>
          <w:rFonts w:ascii="Times New Roman" w:hAnsi="Times New Roman" w:cs="Times New Roman"/>
          <w:color w:val="000000"/>
          <w:szCs w:val="21"/>
        </w:rPr>
        <w:t>e</w:t>
      </w:r>
      <w:r>
        <w:rPr>
          <w:rFonts w:ascii="䅂䍄䕅⯋컌" w:eastAsia="䅂䍄䕅⯋컌" w:hint="eastAsia"/>
          <w:color w:val="000000"/>
          <w:szCs w:val="21"/>
        </w:rPr>
        <w:t>、归属于该无形资产开发阶段的支出能够可靠地计量。不满足上述条件的开发支出，于发生时计入当期损益。</w:t>
      </w:r>
    </w:p>
    <w:p w:rsidR="00E22F4C" w:rsidRDefault="00381575">
      <w:pPr>
        <w:pStyle w:val="3"/>
        <w:spacing w:line="280" w:lineRule="exact"/>
        <w:jc w:val="left"/>
        <w:rPr>
          <w:rFonts w:ascii="宋体" w:hAnsi="宋体" w:cs="宋体"/>
          <w:b/>
          <w:bCs/>
        </w:rPr>
      </w:pPr>
      <w:bookmarkStart w:id="212" w:name="_Toc989101"/>
      <w:r>
        <w:rPr>
          <w:rFonts w:ascii="宋体" w:hAnsi="宋体" w:cs="宋体"/>
          <w:b/>
          <w:bCs/>
        </w:rPr>
        <w:t>31、长期资产减值</w:t>
      </w:r>
      <w:bookmarkEnd w:id="212"/>
    </w:p>
    <w:p w:rsidR="00E22F4C" w:rsidRDefault="00E22F4C">
      <w:pPr>
        <w:pStyle w:val="a4"/>
        <w:spacing w:before="120" w:beforeAutospacing="0" w:after="0" w:afterAutospacing="0" w:line="460" w:lineRule="atLeast"/>
        <w:ind w:firstLine="424"/>
        <w:divId w:val="207226275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）适用范围</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cs="Times New Roman" w:hint="eastAsia"/>
          <w:sz w:val="21"/>
          <w:szCs w:val="21"/>
        </w:rPr>
        <w:lastRenderedPageBreak/>
        <w:t>资产减值主要包括长期股权投资、投资性房地产（不含以公允价值模式计量的投资性房地产）、固定资产、在建工程、工程物资、无形资产（包括资本化的开发支出）、资产组和资产组组合、商誉等。</w:t>
      </w:r>
    </w:p>
    <w:p w:rsidR="00E22F4C" w:rsidRDefault="00E22F4C">
      <w:pPr>
        <w:pStyle w:val="a4"/>
        <w:spacing w:before="120" w:beforeAutospacing="0" w:after="0" w:afterAutospacing="0" w:line="460" w:lineRule="atLeast"/>
        <w:ind w:firstLine="424"/>
        <w:divId w:val="207226275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）可能发生减值资产的认定</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cs="Times New Roman" w:hint="eastAsia"/>
          <w:sz w:val="21"/>
          <w:szCs w:val="21"/>
        </w:rPr>
        <w:t>在资产负债表日，公司判断资产是否存在可能发生减值的迹象。因企业合并所形成的商誉和使用寿命不确定的无形资产，无论是否存在减值迹象，每年均进行减值测试。存在下列迹象的，表明资产可能发生了减值：</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、资产的市价当期大幅度下跌，其跌幅明显高于因时间的推移或者正常使用而预计的下跌。</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、公司经营所处的经济、技术或者法律等环境以及资产所处的市场在当期或者将在近期发生重大变化，从而对公司产生不利影响。</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、市场利率或者其他市场投资报酬率在当期已经提高，从而影响公司计算资产预计未来现金流量现值的折现率，导致资产可收回金额大幅度降低。</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ascii="Times New Roman" w:hAnsi="Times New Roman" w:cs="Times New Roman"/>
          <w:sz w:val="21"/>
          <w:szCs w:val="21"/>
        </w:rPr>
        <w:t>D</w:t>
      </w:r>
      <w:r>
        <w:rPr>
          <w:rFonts w:cs="Times New Roman" w:hint="eastAsia"/>
          <w:sz w:val="21"/>
          <w:szCs w:val="21"/>
        </w:rPr>
        <w:t>、有证据表明资产已经陈旧过时或者其实体已经损坏。</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ascii="Times New Roman" w:hAnsi="Times New Roman" w:cs="Times New Roman"/>
          <w:sz w:val="21"/>
          <w:szCs w:val="21"/>
        </w:rPr>
        <w:t>E</w:t>
      </w:r>
      <w:r>
        <w:rPr>
          <w:rFonts w:cs="Times New Roman" w:hint="eastAsia"/>
          <w:sz w:val="21"/>
          <w:szCs w:val="21"/>
        </w:rPr>
        <w:t>、资产已经或者将被闲置、终止使用或者计划提前处置。</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ascii="Times New Roman" w:hAnsi="Times New Roman" w:cs="Times New Roman"/>
          <w:sz w:val="21"/>
          <w:szCs w:val="21"/>
        </w:rPr>
        <w:t>F</w:t>
      </w:r>
      <w:r>
        <w:rPr>
          <w:rFonts w:cs="Times New Roman" w:hint="eastAsia"/>
          <w:sz w:val="21"/>
          <w:szCs w:val="21"/>
        </w:rPr>
        <w:t>、公司内部报告的证据表明资产的经济绩效已经低于或者将低于预期，如资产所创造的净现金流量或者实现的营业利润（或者亏损）远远低于（或者高于）预计金额等。</w:t>
      </w:r>
    </w:p>
    <w:p w:rsidR="00E22F4C" w:rsidRDefault="00E22F4C">
      <w:pPr>
        <w:pStyle w:val="a4"/>
        <w:spacing w:before="120" w:beforeAutospacing="0" w:after="0" w:afterAutospacing="0" w:line="460" w:lineRule="atLeast"/>
        <w:ind w:firstLine="462"/>
        <w:jc w:val="both"/>
        <w:divId w:val="2072262751"/>
        <w:rPr>
          <w:rFonts w:ascii="Times New Roman" w:hAnsi="Times New Roman" w:cs="Times New Roman"/>
          <w:sz w:val="21"/>
          <w:szCs w:val="21"/>
        </w:rPr>
      </w:pPr>
      <w:r>
        <w:rPr>
          <w:rFonts w:ascii="Times New Roman" w:hAnsi="Times New Roman" w:cs="Times New Roman"/>
          <w:sz w:val="21"/>
          <w:szCs w:val="21"/>
        </w:rPr>
        <w:t>G</w:t>
      </w:r>
      <w:r>
        <w:rPr>
          <w:rFonts w:cs="Times New Roman" w:hint="eastAsia"/>
          <w:sz w:val="21"/>
          <w:szCs w:val="21"/>
        </w:rPr>
        <w:t>、其他表明资产可能已经发生减值的迹象。</w:t>
      </w:r>
    </w:p>
    <w:p w:rsidR="00E22F4C" w:rsidRDefault="00E22F4C">
      <w:pPr>
        <w:pStyle w:val="a4"/>
        <w:spacing w:before="120" w:beforeAutospacing="0" w:after="0" w:afterAutospacing="0" w:line="460" w:lineRule="atLeast"/>
        <w:ind w:firstLine="424"/>
        <w:jc w:val="both"/>
        <w:divId w:val="207226275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）资产可收回金额的计量</w:t>
      </w:r>
    </w:p>
    <w:p w:rsidR="00E22F4C" w:rsidRDefault="00E22F4C">
      <w:pPr>
        <w:pStyle w:val="a4"/>
        <w:spacing w:before="120" w:beforeAutospacing="0" w:after="0" w:afterAutospacing="0" w:line="460" w:lineRule="atLeast"/>
        <w:ind w:firstLine="424"/>
        <w:jc w:val="both"/>
        <w:divId w:val="2072262751"/>
        <w:rPr>
          <w:rFonts w:ascii="Times New Roman" w:hAnsi="Times New Roman" w:cs="Times New Roman"/>
          <w:sz w:val="21"/>
          <w:szCs w:val="21"/>
        </w:rPr>
      </w:pPr>
      <w:r>
        <w:rPr>
          <w:rFonts w:cs="Times New Roman" w:hint="eastAsia"/>
          <w:sz w:val="21"/>
          <w:szCs w:val="21"/>
        </w:rPr>
        <w:t>资产存在减值迹象的，估计其可收回金额。可收回金额根据资产的公允价值减去处置费用后的净额与资产预计未来现金流量的现值两者之间较高者确定。</w:t>
      </w:r>
    </w:p>
    <w:p w:rsidR="00E22F4C" w:rsidRDefault="00E22F4C">
      <w:pPr>
        <w:pStyle w:val="a4"/>
        <w:spacing w:before="120" w:beforeAutospacing="0" w:after="0" w:afterAutospacing="0" w:line="460" w:lineRule="atLeast"/>
        <w:ind w:firstLine="424"/>
        <w:jc w:val="both"/>
        <w:divId w:val="207226275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4</w:t>
      </w:r>
      <w:r>
        <w:rPr>
          <w:rFonts w:cs="Times New Roman" w:hint="eastAsia"/>
          <w:sz w:val="21"/>
          <w:szCs w:val="21"/>
        </w:rPr>
        <w:t>）资产减值损失的确定</w:t>
      </w:r>
    </w:p>
    <w:p w:rsidR="00E22F4C" w:rsidRDefault="00E22F4C">
      <w:pPr>
        <w:pStyle w:val="a4"/>
        <w:spacing w:before="120" w:beforeAutospacing="0" w:after="0" w:afterAutospacing="0" w:line="460" w:lineRule="atLeast"/>
        <w:ind w:firstLine="424"/>
        <w:jc w:val="both"/>
        <w:divId w:val="2072262751"/>
        <w:rPr>
          <w:rFonts w:ascii="Times New Roman" w:hAnsi="Times New Roman" w:cs="Times New Roman"/>
          <w:sz w:val="21"/>
          <w:szCs w:val="21"/>
        </w:rPr>
      </w:pPr>
      <w:r>
        <w:rPr>
          <w:rFonts w:cs="Times New Roman" w:hint="eastAsia"/>
          <w:sz w:val="21"/>
          <w:szCs w:val="21"/>
        </w:rPr>
        <w:t>可收回金额的计量结果表明，资产的可收回金额低于其账面价值的，将资产的账面价值减记至可收回金额，减记的金额确认为资产减值损失，计入当期损益，同时计提相应的资产减值准备。资产减值损失确认后，减值资产的折旧或者摊销费用在未来期间作相应调整，以使该资产在剩余使用寿命内，系统地分摊调整后的资产账面价值（扣除预计净残值）。资产减值损失一经确认，在以后会计期间不再转回。</w:t>
      </w:r>
    </w:p>
    <w:p w:rsidR="00E22F4C" w:rsidRDefault="00E22F4C">
      <w:pPr>
        <w:pStyle w:val="a4"/>
        <w:spacing w:before="120" w:beforeAutospacing="0" w:after="0" w:afterAutospacing="0" w:line="440" w:lineRule="atLeast"/>
        <w:ind w:firstLine="424"/>
        <w:jc w:val="both"/>
        <w:divId w:val="207226275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5</w:t>
      </w:r>
      <w:r>
        <w:rPr>
          <w:rFonts w:cs="Times New Roman" w:hint="eastAsia"/>
          <w:sz w:val="21"/>
          <w:szCs w:val="21"/>
        </w:rPr>
        <w:t>）资产组的认定及减值处理</w:t>
      </w:r>
    </w:p>
    <w:p w:rsidR="00E22F4C" w:rsidRDefault="00E22F4C">
      <w:pPr>
        <w:pStyle w:val="a4"/>
        <w:spacing w:before="120" w:beforeAutospacing="0" w:after="0" w:afterAutospacing="0" w:line="440" w:lineRule="atLeast"/>
        <w:ind w:firstLine="424"/>
        <w:divId w:val="2072262751"/>
        <w:rPr>
          <w:rFonts w:ascii="Times New Roman" w:hAnsi="Times New Roman" w:cs="Times New Roman"/>
          <w:sz w:val="21"/>
          <w:szCs w:val="21"/>
        </w:rPr>
      </w:pPr>
      <w:r>
        <w:rPr>
          <w:rFonts w:cs="Times New Roman" w:hint="eastAsia"/>
          <w:sz w:val="21"/>
          <w:szCs w:val="21"/>
        </w:rPr>
        <w:lastRenderedPageBreak/>
        <w:t>有迹象表明一项资产可能发生减值的，公司以单项资产为基础估计其可收回金额。公司难以对单项资产的可收回金额进行估计的，以该资产所属的资产组为基础确定资产组的可收回金额。资产组的认定，以资产组产生的主要现金流入是否独立于其他资产或者资产组的现金流入为依据。</w:t>
      </w:r>
    </w:p>
    <w:p w:rsidR="00E22F4C" w:rsidRDefault="00E22F4C">
      <w:pPr>
        <w:pStyle w:val="a4"/>
        <w:spacing w:before="120" w:beforeAutospacing="0" w:after="0" w:afterAutospacing="0" w:line="400" w:lineRule="atLeast"/>
        <w:ind w:firstLine="424"/>
        <w:divId w:val="2072262751"/>
        <w:rPr>
          <w:rFonts w:ascii="Times New Roman" w:hAnsi="Times New Roman" w:cs="Times New Roman"/>
          <w:sz w:val="21"/>
          <w:szCs w:val="21"/>
        </w:rPr>
      </w:pPr>
      <w:r>
        <w:rPr>
          <w:rFonts w:cs="Times New Roman" w:hint="eastAsia"/>
          <w:sz w:val="21"/>
          <w:szCs w:val="21"/>
        </w:rPr>
        <w:t>资产组或者资产组组合的可收回金额低于其账面价值的（总部资产和商誉分摊至某资产组或者资产组组合的，该资产组或者资产组组合的账面价值应当包括相关总部资产和商誉的分摊额），确认相应的减值损失。减值损失金额先抵减分摊至资产组或者资产组组合中商誉的账面价值，再根据资产组或者资产组组合中除商誉之外的其他各项资产的账面价值所占比重，按比例抵减其他各项资产的账面价值。</w:t>
      </w:r>
    </w:p>
    <w:p w:rsidR="00E22F4C" w:rsidRDefault="00E22F4C">
      <w:pPr>
        <w:pStyle w:val="a4"/>
        <w:spacing w:before="120" w:beforeAutospacing="0" w:after="0" w:afterAutospacing="0" w:line="400" w:lineRule="atLeast"/>
        <w:ind w:firstLine="424"/>
        <w:jc w:val="both"/>
        <w:divId w:val="207226275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6</w:t>
      </w:r>
      <w:r>
        <w:rPr>
          <w:rFonts w:cs="Times New Roman" w:hint="eastAsia"/>
          <w:sz w:val="21"/>
          <w:szCs w:val="21"/>
        </w:rPr>
        <w:t>）商誉减值</w:t>
      </w:r>
    </w:p>
    <w:p w:rsidR="00E22F4C" w:rsidRDefault="00E22F4C">
      <w:pPr>
        <w:pStyle w:val="a4"/>
        <w:spacing w:before="120" w:beforeAutospacing="0" w:after="0" w:afterAutospacing="0" w:line="400" w:lineRule="atLeast"/>
        <w:ind w:firstLine="424"/>
        <w:jc w:val="both"/>
        <w:divId w:val="2072262751"/>
        <w:rPr>
          <w:rFonts w:ascii="Times New Roman" w:hAnsi="Times New Roman" w:cs="Times New Roman"/>
          <w:sz w:val="21"/>
          <w:szCs w:val="21"/>
        </w:rPr>
      </w:pPr>
      <w:r>
        <w:rPr>
          <w:rFonts w:cs="Times New Roman" w:hint="eastAsia"/>
          <w:sz w:val="21"/>
          <w:szCs w:val="21"/>
        </w:rPr>
        <w:t>公司因企业合并所形成的商誉，至少在每年年度终了进行减值测试。对于因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公司确定的报告分部。</w:t>
      </w:r>
    </w:p>
    <w:p w:rsidR="00E22F4C" w:rsidRDefault="00E22F4C">
      <w:pPr>
        <w:pStyle w:val="a4"/>
        <w:spacing w:before="120" w:beforeAutospacing="0" w:after="0" w:afterAutospacing="0" w:line="400" w:lineRule="atLeast"/>
        <w:ind w:firstLine="359"/>
        <w:jc w:val="both"/>
        <w:divId w:val="2072262751"/>
        <w:rPr>
          <w:rFonts w:ascii="Times New Roman" w:hAnsi="Times New Roman" w:cs="Times New Roman"/>
          <w:sz w:val="21"/>
          <w:szCs w:val="21"/>
        </w:rPr>
      </w:pPr>
      <w:r>
        <w:rPr>
          <w:rFonts w:cs="Times New Roman" w:hint="eastAsia"/>
          <w:sz w:val="21"/>
          <w:szCs w:val="21"/>
        </w:rPr>
        <w:t>在对包含商誉的相关资产组或者资产组组合进行减值测试时，如与商誉相关的资产组或者资产组组合存在减值迹象的，应当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并按照本附注所述资产组减值的规定进行处理。</w:t>
      </w:r>
    </w:p>
    <w:p w:rsidR="00E22F4C" w:rsidRDefault="00381575">
      <w:pPr>
        <w:pStyle w:val="3"/>
        <w:spacing w:line="280" w:lineRule="exact"/>
        <w:jc w:val="left"/>
        <w:rPr>
          <w:rFonts w:ascii="宋体" w:hAnsi="宋体" w:cs="宋体"/>
          <w:b/>
          <w:bCs/>
        </w:rPr>
      </w:pPr>
      <w:bookmarkStart w:id="213" w:name="_Toc989102"/>
      <w:r>
        <w:rPr>
          <w:rFonts w:ascii="宋体" w:hAnsi="宋体" w:cs="宋体"/>
          <w:b/>
          <w:bCs/>
        </w:rPr>
        <w:t>32、长期待摊费用</w:t>
      </w:r>
      <w:bookmarkEnd w:id="213"/>
    </w:p>
    <w:p w:rsidR="00E22F4C" w:rsidRDefault="00E22F4C">
      <w:pPr>
        <w:pStyle w:val="a4"/>
        <w:spacing w:before="120" w:beforeAutospacing="0" w:after="0" w:afterAutospacing="0" w:line="440" w:lineRule="atLeast"/>
        <w:ind w:firstLine="424"/>
        <w:jc w:val="both"/>
        <w:divId w:val="1354189264"/>
        <w:rPr>
          <w:rFonts w:ascii="Times New Roman" w:hAnsi="Times New Roman" w:cs="Times New Roman"/>
          <w:sz w:val="21"/>
          <w:szCs w:val="21"/>
        </w:rPr>
      </w:pPr>
      <w:r>
        <w:rPr>
          <w:rFonts w:cs="Times New Roman" w:hint="eastAsia"/>
          <w:sz w:val="21"/>
          <w:szCs w:val="21"/>
        </w:rPr>
        <w:t>长期待摊费用是公司已经发生但应由本期和以后各期分担的分摊期限在一年以上的各项费用，以实际发生的支出入账并在其预计受益期内平均摊销。</w:t>
      </w:r>
    </w:p>
    <w:p w:rsidR="00E22F4C" w:rsidRDefault="00381575">
      <w:pPr>
        <w:pStyle w:val="3"/>
        <w:spacing w:line="280" w:lineRule="exact"/>
        <w:jc w:val="left"/>
        <w:rPr>
          <w:rFonts w:ascii="宋体" w:hAnsi="宋体" w:cs="宋体"/>
          <w:b/>
          <w:bCs/>
        </w:rPr>
      </w:pPr>
      <w:bookmarkStart w:id="214" w:name="_Toc989103"/>
      <w:r>
        <w:rPr>
          <w:rFonts w:ascii="宋体" w:hAnsi="宋体" w:cs="宋体"/>
          <w:b/>
          <w:bCs/>
        </w:rPr>
        <w:t>33、合同负债</w:t>
      </w:r>
      <w:bookmarkEnd w:id="214"/>
    </w:p>
    <w:p w:rsidR="00E22F4C" w:rsidRDefault="00E22F4C">
      <w:pPr>
        <w:pStyle w:val="a4"/>
        <w:spacing w:before="120" w:beforeAutospacing="0" w:after="0" w:afterAutospacing="0" w:line="440" w:lineRule="atLeast"/>
        <w:ind w:firstLine="424"/>
        <w:jc w:val="both"/>
        <w:divId w:val="1260065374"/>
        <w:rPr>
          <w:rFonts w:ascii="Times New Roman" w:hAnsi="Times New Roman" w:cs="Times New Roman"/>
          <w:sz w:val="21"/>
          <w:szCs w:val="21"/>
        </w:rPr>
      </w:pPr>
      <w:r>
        <w:rPr>
          <w:rFonts w:cs="Times New Roman" w:hint="eastAsia"/>
          <w:sz w:val="21"/>
          <w:szCs w:val="21"/>
        </w:rPr>
        <w:t>合同负债的确认方法</w:t>
      </w:r>
    </w:p>
    <w:p w:rsidR="00E22F4C" w:rsidRDefault="00E22F4C">
      <w:pPr>
        <w:pStyle w:val="a4"/>
        <w:spacing w:before="120" w:beforeAutospacing="0" w:after="0" w:afterAutospacing="0" w:line="440" w:lineRule="atLeast"/>
        <w:ind w:firstLine="424"/>
        <w:jc w:val="both"/>
        <w:divId w:val="1260065374"/>
        <w:rPr>
          <w:rFonts w:ascii="Times New Roman" w:hAnsi="Times New Roman" w:cs="Times New Roman"/>
          <w:sz w:val="21"/>
          <w:szCs w:val="21"/>
        </w:rPr>
      </w:pPr>
      <w:r>
        <w:rPr>
          <w:rFonts w:cs="Times New Roman" w:hint="eastAsia"/>
          <w:sz w:val="21"/>
          <w:szCs w:val="21"/>
        </w:rPr>
        <w:t>公司根据履行履约义务与客户付款之间的关系在资产负债表中列示合同资产或合同负债。 公司将同一合同下的合同资产和合同负债相互抵销后以净额列示。</w:t>
      </w:r>
    </w:p>
    <w:p w:rsidR="00E22F4C" w:rsidRDefault="00E22F4C">
      <w:pPr>
        <w:pStyle w:val="a4"/>
        <w:spacing w:before="120" w:beforeAutospacing="0" w:after="0" w:afterAutospacing="0" w:line="440" w:lineRule="atLeast"/>
        <w:ind w:firstLine="424"/>
        <w:jc w:val="both"/>
        <w:divId w:val="1260065374"/>
        <w:rPr>
          <w:rFonts w:ascii="Times New Roman" w:hAnsi="Times New Roman" w:cs="Times New Roman"/>
          <w:sz w:val="21"/>
          <w:szCs w:val="21"/>
        </w:rPr>
      </w:pPr>
      <w:r>
        <w:rPr>
          <w:rFonts w:cs="Times New Roman" w:hint="eastAsia"/>
          <w:sz w:val="21"/>
          <w:szCs w:val="21"/>
        </w:rPr>
        <w:t>公司将拥有的、无条件（即，仅取决于时间流逝）</w:t>
      </w:r>
      <w:r>
        <w:rPr>
          <w:rFonts w:ascii="Times New Roman" w:hAnsi="Times New Roman" w:cs="Times New Roman"/>
          <w:sz w:val="21"/>
          <w:szCs w:val="21"/>
        </w:rPr>
        <w:t> </w:t>
      </w:r>
      <w:r>
        <w:rPr>
          <w:rFonts w:cs="Times New Roman" w:hint="eastAsia"/>
          <w:sz w:val="21"/>
          <w:szCs w:val="21"/>
        </w:rPr>
        <w:t>向客户收取对价的权利作为应收款项列示，将已向客户转让商品而有权收取对价的权利（该权利取决于时间流逝之外的其他因素）</w:t>
      </w:r>
      <w:r>
        <w:rPr>
          <w:rFonts w:ascii="Times New Roman" w:hAnsi="Times New Roman" w:cs="Times New Roman"/>
          <w:sz w:val="21"/>
          <w:szCs w:val="21"/>
        </w:rPr>
        <w:t> </w:t>
      </w:r>
      <w:r>
        <w:rPr>
          <w:rFonts w:cs="Times New Roman" w:hint="eastAsia"/>
          <w:sz w:val="21"/>
          <w:szCs w:val="21"/>
        </w:rPr>
        <w:t>作为合同资产列示。</w:t>
      </w:r>
    </w:p>
    <w:p w:rsidR="00E22F4C" w:rsidRDefault="00E22F4C">
      <w:pPr>
        <w:pStyle w:val="a4"/>
        <w:spacing w:before="120" w:beforeAutospacing="0" w:after="0" w:afterAutospacing="0" w:line="440" w:lineRule="atLeast"/>
        <w:ind w:firstLine="424"/>
        <w:jc w:val="both"/>
        <w:divId w:val="1260065374"/>
        <w:rPr>
          <w:rFonts w:ascii="Times New Roman" w:hAnsi="Times New Roman" w:cs="Times New Roman"/>
          <w:sz w:val="21"/>
          <w:szCs w:val="21"/>
        </w:rPr>
      </w:pPr>
      <w:r>
        <w:rPr>
          <w:rFonts w:cs="Times New Roman" w:hint="eastAsia"/>
          <w:sz w:val="21"/>
          <w:szCs w:val="21"/>
        </w:rPr>
        <w:t>公司将已收或应收客户对价而应向客户转让商品的义务作为合同负债列示。</w:t>
      </w:r>
    </w:p>
    <w:p w:rsidR="00E22F4C" w:rsidRDefault="00381575">
      <w:pPr>
        <w:pStyle w:val="3"/>
        <w:spacing w:line="280" w:lineRule="exact"/>
        <w:jc w:val="left"/>
        <w:rPr>
          <w:rFonts w:ascii="宋体" w:hAnsi="宋体" w:cs="宋体"/>
          <w:b/>
          <w:bCs/>
        </w:rPr>
      </w:pPr>
      <w:bookmarkStart w:id="215" w:name="_Toc989104"/>
      <w:r>
        <w:rPr>
          <w:rFonts w:ascii="宋体" w:hAnsi="宋体" w:cs="宋体"/>
          <w:b/>
          <w:bCs/>
        </w:rPr>
        <w:lastRenderedPageBreak/>
        <w:t>34、职工薪酬</w:t>
      </w:r>
      <w:bookmarkEnd w:id="215"/>
    </w:p>
    <w:p w:rsidR="00E22F4C" w:rsidRDefault="00381575">
      <w:pPr>
        <w:keepNext/>
        <w:keepLines/>
        <w:spacing w:before="300" w:after="300" w:line="280" w:lineRule="exact"/>
        <w:outlineLvl w:val="3"/>
        <w:rPr>
          <w:rFonts w:ascii="宋体" w:eastAsia="宋体" w:hAnsi="宋体" w:cs="宋体"/>
          <w:b/>
          <w:bCs/>
          <w:szCs w:val="21"/>
        </w:rPr>
      </w:pPr>
      <w:bookmarkStart w:id="216" w:name="_Toc989105"/>
      <w:r>
        <w:rPr>
          <w:rFonts w:ascii="宋体" w:eastAsia="宋体" w:hAnsi="宋体" w:cs="宋体"/>
          <w:b/>
          <w:bCs/>
          <w:szCs w:val="21"/>
        </w:rPr>
        <w:t>（1） 短期薪酬的会计处理方法</w:t>
      </w:r>
      <w:bookmarkEnd w:id="216"/>
    </w:p>
    <w:p w:rsidR="00E22F4C" w:rsidRDefault="00E22F4C">
      <w:pPr>
        <w:pStyle w:val="a4"/>
        <w:spacing w:before="120" w:beforeAutospacing="0" w:after="0" w:afterAutospacing="0" w:line="440" w:lineRule="atLeast"/>
        <w:ind w:firstLine="424"/>
        <w:jc w:val="both"/>
        <w:divId w:val="667097710"/>
        <w:rPr>
          <w:rFonts w:ascii="Times New Roman" w:hAnsi="Times New Roman" w:cs="Times New Roman"/>
          <w:sz w:val="21"/>
          <w:szCs w:val="21"/>
        </w:rPr>
      </w:pPr>
      <w:r>
        <w:rPr>
          <w:rFonts w:cs="Times New Roman" w:hint="eastAsia"/>
          <w:sz w:val="21"/>
          <w:szCs w:val="21"/>
        </w:rPr>
        <w:t>职工薪酬，是指公司为获得职工提供的服务或解除劳动关系而给予的各种形式的报酬或补偿。职工薪酬包括短期薪酬、离职后福利、辞退福利和其他长期职工福利。企业提供给职工配偶、子女、受赡养人、已故员工遗属及其他受益人等的福利，也属于职工薪酬。</w:t>
      </w:r>
    </w:p>
    <w:p w:rsidR="00E22F4C" w:rsidRDefault="00E22F4C">
      <w:pPr>
        <w:pStyle w:val="a4"/>
        <w:spacing w:before="120" w:beforeAutospacing="0" w:after="0" w:afterAutospacing="0" w:line="440" w:lineRule="atLeast"/>
        <w:ind w:firstLine="424"/>
        <w:jc w:val="both"/>
        <w:divId w:val="667097710"/>
        <w:rPr>
          <w:rFonts w:ascii="Times New Roman" w:hAnsi="Times New Roman" w:cs="Times New Roman"/>
          <w:sz w:val="21"/>
          <w:szCs w:val="21"/>
        </w:rPr>
      </w:pPr>
      <w:r>
        <w:rPr>
          <w:rFonts w:cs="Times New Roman" w:hint="eastAsia"/>
          <w:sz w:val="21"/>
          <w:szCs w:val="21"/>
        </w:rPr>
        <w:t>本公司在职工提供相关服务的会计期间，将实际发生的职工工资、奖金、津贴和补贴，职工福利费，医疗保险费、工伤保险费和生育保险费等社会保险费，住房公积金，工会经费和职工教育经费等确认为负债，并计入当期损益或相关资产成本。如果该负债预期在职工提供相关服务的年度报告期结束后十二个月内不能完全支付，且财务影响重大的，则该负债将以折现后的金额计量。</w:t>
      </w:r>
    </w:p>
    <w:p w:rsidR="00E22F4C" w:rsidRDefault="00381575">
      <w:pPr>
        <w:keepNext/>
        <w:keepLines/>
        <w:spacing w:before="300" w:after="300" w:line="280" w:lineRule="exact"/>
        <w:outlineLvl w:val="3"/>
        <w:rPr>
          <w:rFonts w:ascii="宋体" w:eastAsia="宋体" w:hAnsi="宋体" w:cs="宋体"/>
          <w:b/>
          <w:bCs/>
          <w:szCs w:val="21"/>
        </w:rPr>
      </w:pPr>
      <w:bookmarkStart w:id="217" w:name="_Toc989106"/>
      <w:r>
        <w:rPr>
          <w:rFonts w:ascii="宋体" w:eastAsia="宋体" w:hAnsi="宋体" w:cs="宋体"/>
          <w:b/>
          <w:bCs/>
          <w:szCs w:val="21"/>
        </w:rPr>
        <w:t>（2） 离职后福利的会计处理方法</w:t>
      </w:r>
      <w:bookmarkEnd w:id="217"/>
    </w:p>
    <w:p w:rsidR="00E22F4C" w:rsidRDefault="00E22F4C">
      <w:pPr>
        <w:pStyle w:val="a4"/>
        <w:spacing w:before="120" w:beforeAutospacing="0" w:after="0" w:afterAutospacing="0" w:line="440" w:lineRule="atLeast"/>
        <w:ind w:firstLine="424"/>
        <w:jc w:val="both"/>
        <w:divId w:val="1456948189"/>
        <w:rPr>
          <w:rFonts w:ascii="Times New Roman" w:hAnsi="Times New Roman" w:cs="Times New Roman"/>
          <w:sz w:val="21"/>
          <w:szCs w:val="21"/>
        </w:rPr>
      </w:pPr>
      <w:r>
        <w:rPr>
          <w:rFonts w:cs="Times New Roman" w:hint="eastAsia"/>
          <w:sz w:val="21"/>
          <w:szCs w:val="21"/>
        </w:rPr>
        <w:t>离职后福利，是指为获得职工提供的服务而在职工退休或与企业解除劳动关系后，提供的各种形式的报酬和福利，短期薪酬和辞退福利除外。本公司将离职后福利计划分类为设定提存计划和设定受益计划。</w:t>
      </w:r>
      <w:r>
        <w:rPr>
          <w:rFonts w:ascii="Times New Roman" w:hAnsi="Times New Roman" w:cs="Times New Roman"/>
          <w:sz w:val="21"/>
          <w:szCs w:val="21"/>
        </w:rPr>
        <w:t>A.</w:t>
      </w:r>
      <w:r>
        <w:rPr>
          <w:rFonts w:cs="Times New Roman" w:hint="eastAsia"/>
          <w:sz w:val="21"/>
          <w:szCs w:val="21"/>
        </w:rPr>
        <w:t>设定提存计划：公司向独立的基金缴存固定费用后，公司不再承担进一步支付义务的离职后福利计划。包含基本养老保险、失业保险等，在职工为其提供服务的会计期间，将根据设定提存计划计算的应缴存金额确认为负债，并计入当期损益或相关资产成本。</w:t>
      </w:r>
      <w:r>
        <w:rPr>
          <w:rFonts w:ascii="Times New Roman" w:hAnsi="Times New Roman" w:cs="Times New Roman"/>
          <w:sz w:val="21"/>
          <w:szCs w:val="21"/>
        </w:rPr>
        <w:t>B.</w:t>
      </w:r>
      <w:r>
        <w:rPr>
          <w:rFonts w:cs="Times New Roman" w:hint="eastAsia"/>
          <w:sz w:val="21"/>
          <w:szCs w:val="21"/>
        </w:rPr>
        <w:t>设定受益计划：除设定提存计划以外的离职后福利计划。</w:t>
      </w:r>
    </w:p>
    <w:p w:rsidR="00E22F4C" w:rsidRDefault="00381575">
      <w:pPr>
        <w:keepNext/>
        <w:keepLines/>
        <w:spacing w:before="300" w:after="300" w:line="280" w:lineRule="exact"/>
        <w:outlineLvl w:val="3"/>
        <w:rPr>
          <w:rFonts w:ascii="宋体" w:eastAsia="宋体" w:hAnsi="宋体" w:cs="宋体"/>
          <w:b/>
          <w:bCs/>
          <w:szCs w:val="21"/>
        </w:rPr>
      </w:pPr>
      <w:bookmarkStart w:id="218" w:name="_Toc989107"/>
      <w:r>
        <w:rPr>
          <w:rFonts w:ascii="宋体" w:eastAsia="宋体" w:hAnsi="宋体" w:cs="宋体"/>
          <w:b/>
          <w:bCs/>
          <w:szCs w:val="21"/>
        </w:rPr>
        <w:t>（3） 辞退福利的会计处理方法</w:t>
      </w:r>
      <w:bookmarkEnd w:id="218"/>
    </w:p>
    <w:p w:rsidR="00E22F4C" w:rsidRDefault="00E22F4C">
      <w:pPr>
        <w:pStyle w:val="a4"/>
        <w:spacing w:before="120" w:beforeAutospacing="0" w:after="0" w:afterAutospacing="0" w:line="440" w:lineRule="atLeast"/>
        <w:ind w:firstLine="424"/>
        <w:jc w:val="both"/>
        <w:divId w:val="360129259"/>
        <w:rPr>
          <w:rFonts w:ascii="Times New Roman" w:hAnsi="Times New Roman" w:cs="Times New Roman"/>
          <w:sz w:val="21"/>
          <w:szCs w:val="21"/>
        </w:rPr>
      </w:pPr>
      <w:r>
        <w:rPr>
          <w:rFonts w:cs="Times New Roman" w:hint="eastAsia"/>
          <w:sz w:val="21"/>
          <w:szCs w:val="21"/>
        </w:rPr>
        <w:t>辞退福利，是指公司在职工劳动合同到期之前解除与职工的劳动关系，或者为鼓励职工自愿接受裁减而给予职工的补偿。公司向职工提供辞退福利的，在下列两者孰早日确认辞退福利产生的职工薪酬负债，并计入当期损益：</w:t>
      </w:r>
      <w:r>
        <w:rPr>
          <w:rFonts w:ascii="Times New Roman" w:hAnsi="Times New Roman" w:cs="Times New Roman"/>
          <w:sz w:val="21"/>
          <w:szCs w:val="21"/>
        </w:rPr>
        <w:t>A.</w:t>
      </w:r>
      <w:r>
        <w:rPr>
          <w:rFonts w:cs="Times New Roman" w:hint="eastAsia"/>
          <w:sz w:val="21"/>
          <w:szCs w:val="21"/>
        </w:rPr>
        <w:t>企业不能单方面撤回因解除劳动关系计划或裁减建议所提供的辞退福利时。</w:t>
      </w:r>
      <w:r>
        <w:rPr>
          <w:rFonts w:ascii="Times New Roman" w:hAnsi="Times New Roman" w:cs="Times New Roman"/>
          <w:sz w:val="21"/>
          <w:szCs w:val="21"/>
        </w:rPr>
        <w:t>B.</w:t>
      </w:r>
      <w:r>
        <w:rPr>
          <w:rFonts w:cs="Times New Roman" w:hint="eastAsia"/>
          <w:sz w:val="21"/>
          <w:szCs w:val="21"/>
        </w:rPr>
        <w:t>企业确认与涉及支付辞退福利的重组相关的成本或费用时。</w:t>
      </w:r>
    </w:p>
    <w:p w:rsidR="00E22F4C" w:rsidRDefault="00381575">
      <w:pPr>
        <w:keepNext/>
        <w:keepLines/>
        <w:spacing w:before="300" w:after="300" w:line="280" w:lineRule="exact"/>
        <w:outlineLvl w:val="3"/>
        <w:rPr>
          <w:rFonts w:ascii="宋体" w:eastAsia="宋体" w:hAnsi="宋体" w:cs="宋体"/>
          <w:b/>
          <w:bCs/>
          <w:szCs w:val="21"/>
        </w:rPr>
      </w:pPr>
      <w:bookmarkStart w:id="219" w:name="_Toc989108"/>
      <w:r>
        <w:rPr>
          <w:rFonts w:ascii="宋体" w:eastAsia="宋体" w:hAnsi="宋体" w:cs="宋体"/>
          <w:b/>
          <w:bCs/>
          <w:szCs w:val="21"/>
        </w:rPr>
        <w:t>（4） 其他长期职工福利的会计处理方法</w:t>
      </w:r>
      <w:bookmarkEnd w:id="219"/>
    </w:p>
    <w:p w:rsidR="00E22F4C" w:rsidRDefault="00E22F4C">
      <w:pPr>
        <w:divId w:val="1539925264"/>
        <w:rPr>
          <w:sz w:val="18"/>
          <w:szCs w:val="18"/>
        </w:rPr>
      </w:pPr>
    </w:p>
    <w:p w:rsidR="00E22F4C" w:rsidRDefault="00381575">
      <w:pPr>
        <w:pStyle w:val="3"/>
        <w:spacing w:line="280" w:lineRule="exact"/>
        <w:jc w:val="left"/>
        <w:rPr>
          <w:rFonts w:ascii="宋体" w:hAnsi="宋体" w:cs="宋体"/>
          <w:b/>
          <w:bCs/>
        </w:rPr>
      </w:pPr>
      <w:bookmarkStart w:id="220" w:name="_Toc989109"/>
      <w:r>
        <w:rPr>
          <w:rFonts w:ascii="宋体" w:hAnsi="宋体" w:cs="宋体"/>
          <w:b/>
          <w:bCs/>
        </w:rPr>
        <w:t>35、租赁负债</w:t>
      </w:r>
      <w:bookmarkEnd w:id="220"/>
    </w:p>
    <w:p w:rsidR="00E22F4C" w:rsidRDefault="00E22F4C">
      <w:pPr>
        <w:pStyle w:val="a4"/>
        <w:spacing w:before="120" w:beforeAutospacing="0" w:after="0" w:afterAutospacing="0" w:line="440" w:lineRule="atLeast"/>
        <w:ind w:firstLine="424"/>
        <w:jc w:val="both"/>
        <w:divId w:val="649602976"/>
        <w:rPr>
          <w:rFonts w:ascii="Times New Roman" w:hAnsi="Times New Roman" w:cs="Times New Roman"/>
          <w:sz w:val="21"/>
          <w:szCs w:val="21"/>
        </w:rPr>
      </w:pPr>
      <w:r>
        <w:rPr>
          <w:rFonts w:cs="Times New Roman" w:hint="eastAsia"/>
          <w:sz w:val="21"/>
          <w:szCs w:val="21"/>
        </w:rPr>
        <w:t>在租赁期开始日，公司将尚未支付的租赁付款额的现值确认为租赁负债，短期租赁和低价值资产租赁除外。在计算租赁付款额的现值时，公司采用租赁内含利率作为折现率；无法确定租赁内含利率的，采用承租人增量借款利率作为折现率。公司按照固定的周期性利率计算租赁负债在租赁期内各期间的利</w:t>
      </w:r>
      <w:r>
        <w:rPr>
          <w:rFonts w:cs="Times New Roman" w:hint="eastAsia"/>
          <w:sz w:val="21"/>
          <w:szCs w:val="21"/>
        </w:rPr>
        <w:lastRenderedPageBreak/>
        <w:t>息费用，并计入当期损益，但另有规定计入相关资产成本的除外。未纳入租赁负债计量的可变租赁付款额于实际发生时计入当期损益，但另有规定计入相关资产成本的除外。</w:t>
      </w:r>
    </w:p>
    <w:p w:rsidR="00E22F4C" w:rsidRDefault="00E22F4C">
      <w:pPr>
        <w:pStyle w:val="a4"/>
        <w:spacing w:before="120" w:beforeAutospacing="0" w:after="0" w:afterAutospacing="0" w:line="440" w:lineRule="atLeast"/>
        <w:ind w:firstLine="424"/>
        <w:jc w:val="both"/>
        <w:divId w:val="649602976"/>
        <w:rPr>
          <w:rFonts w:ascii="Times New Roman" w:hAnsi="Times New Roman" w:cs="Times New Roman"/>
          <w:sz w:val="21"/>
          <w:szCs w:val="21"/>
        </w:rPr>
      </w:pPr>
      <w:r>
        <w:rPr>
          <w:rFonts w:cs="Times New Roman" w:hint="eastAsia"/>
          <w:sz w:val="21"/>
          <w:szCs w:val="21"/>
        </w:rPr>
        <w:t>租赁期开始日后，当实质固定付款额发生变动、担保余值预计的应付金额发生变化、用于确定租赁付款额的指数或比率发生变动、购买选择权、续租选择权或终止选择权的评估结果或实际行权情况发生变化时，公司按照变动后的租赁付款额的现值重新计量租赁负债。</w:t>
      </w:r>
    </w:p>
    <w:p w:rsidR="00E22F4C" w:rsidRDefault="00381575">
      <w:pPr>
        <w:pStyle w:val="3"/>
        <w:spacing w:line="280" w:lineRule="exact"/>
        <w:jc w:val="left"/>
        <w:rPr>
          <w:rFonts w:ascii="宋体" w:hAnsi="宋体" w:cs="宋体"/>
          <w:b/>
          <w:bCs/>
        </w:rPr>
      </w:pPr>
      <w:bookmarkStart w:id="221" w:name="_Toc989110"/>
      <w:r>
        <w:rPr>
          <w:rFonts w:ascii="宋体" w:hAnsi="宋体" w:cs="宋体"/>
          <w:b/>
          <w:bCs/>
        </w:rPr>
        <w:t>36、预计负债</w:t>
      </w:r>
      <w:bookmarkEnd w:id="221"/>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）预计负债的确认标准</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cs="Times New Roman" w:hint="eastAsia"/>
          <w:sz w:val="21"/>
          <w:szCs w:val="21"/>
        </w:rPr>
        <w:t>当与对外担保、未决诉讼或仲裁、产品质量保证、裁员计划、亏损合同、重组义务、固定资产弃置义务等或有事项相关的业务同时符合以下条件时，确认为负债：</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、该义务是本公司承担的现时义务。</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、该义务的履行很可能导致经济利益流出企业。</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、该义务的金额能够可靠地计量。</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）预计负债的计量方法</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cs="Times New Roman" w:hint="eastAsia"/>
          <w:sz w:val="21"/>
          <w:szCs w:val="21"/>
        </w:rPr>
        <w:t>预计负债按照履行现时义务所需支出的最佳估计数进行精算并初始计量。所需支出存在一个连续范围，且该范围内各种结果发生的可能性相同的最佳估计数按该范围的中间值确定；在其他情况下，最佳估计数按如下方法确定：</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、有事项涉及单个项目时，最佳估计数按最可能发生金额确定。</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、或有事项涉及多个项目时，最佳估计数按各种可能发生额及其发生概率计算确定。</w:t>
      </w:r>
    </w:p>
    <w:p w:rsidR="00E22F4C" w:rsidRDefault="00E22F4C">
      <w:pPr>
        <w:pStyle w:val="a4"/>
        <w:spacing w:before="120" w:beforeAutospacing="0" w:after="0" w:afterAutospacing="0" w:line="440" w:lineRule="atLeast"/>
        <w:ind w:firstLine="424"/>
        <w:jc w:val="both"/>
        <w:divId w:val="325477118"/>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、公司清偿预计负债所需支出全部或部分预期由第三方或其他方补偿的，则补偿金额在基本确定能收到时，作为资产单独确认。确认的补偿金额不超过所确认预计负债的账面价值。</w:t>
      </w:r>
    </w:p>
    <w:p w:rsidR="00E22F4C" w:rsidRDefault="00381575">
      <w:pPr>
        <w:pStyle w:val="3"/>
        <w:spacing w:line="280" w:lineRule="exact"/>
        <w:jc w:val="left"/>
        <w:rPr>
          <w:rFonts w:ascii="宋体" w:hAnsi="宋体" w:cs="宋体"/>
          <w:b/>
          <w:bCs/>
        </w:rPr>
      </w:pPr>
      <w:bookmarkStart w:id="222" w:name="_Toc989111"/>
      <w:r>
        <w:rPr>
          <w:rFonts w:ascii="宋体" w:hAnsi="宋体" w:cs="宋体"/>
          <w:b/>
          <w:bCs/>
        </w:rPr>
        <w:t>37、股份支付</w:t>
      </w:r>
      <w:bookmarkEnd w:id="222"/>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）股份支付的种类</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对于以权益结算的涉及职工的股份支付，按照授予日权益工具的公允价值计入成本费用和资本公积（其他资本公积），不确认其后续公允价值变动；在可行权之后不再对已确认的成本费用和所有者权益总额进行调整。按照行权情况，确认股本和股本溢价，同时结转等待期内确认的资本公积（其他资本公积）。其中：对于换取职工服务的股份支付，在等待期内的每个资产负债表日，以对可行权权益工具</w:t>
      </w:r>
      <w:r>
        <w:rPr>
          <w:rFonts w:cs="Times New Roman" w:hint="eastAsia"/>
          <w:sz w:val="21"/>
          <w:szCs w:val="21"/>
        </w:rPr>
        <w:lastRenderedPageBreak/>
        <w:t>数量的最佳估计为基础，按照权益工具在授予日的公允价值，计入相关资产成本或当期费用，同时计入资本公积（其他资本公积）；对于换取其他方服务的股份支付，以所换取其他方服务的公允价值计量。如果该公允价值不能可靠计量的，但权益工具的公允价值能够可靠计量的，则按权益工具在服务取得日的公允价值计量，计入相关资产成本或费用，同时计入资本公积（其他资本公积）。</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对于以现金结算的涉及职工的股份支付，按照每个资产负债表日权益工具的公允价值重新计量，确定成本费用和应付职工薪酬。在等待期内的每个资产负债表日，以对可行权权益工具数量的最佳估计为基础，按照承担的以股份或其他权益工具为基础计算确定的负债的公允价值计量，计入相关资产成本或费用，同时计入应付职工薪酬。在可行权之后不再确认成本费用，对应付职工薪酬的公允价值重新计量，将其变动计入公允价值变动损益。</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）权益工具公允价值的确定方法</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对于授予的期权等权益工具存在活跃市场的，按照活跃市场中的报价确定其公允价值。对于授予的期权等权益工具不存在活跃市场的，采用期权定价模型等确定其公允价值，选用的期权定价模型至少应当考虑以下因素：①</w:t>
      </w:r>
      <w:r>
        <w:rPr>
          <w:rFonts w:ascii="Times New Roman" w:hAnsi="Times New Roman" w:cs="Times New Roman"/>
          <w:sz w:val="21"/>
          <w:szCs w:val="21"/>
        </w:rPr>
        <w:t> </w:t>
      </w:r>
      <w:r>
        <w:rPr>
          <w:rFonts w:cs="Times New Roman" w:hint="eastAsia"/>
          <w:sz w:val="21"/>
          <w:szCs w:val="21"/>
        </w:rPr>
        <w:t>期权的行权价格；②</w:t>
      </w:r>
      <w:r>
        <w:rPr>
          <w:rFonts w:ascii="Times New Roman" w:hAnsi="Times New Roman" w:cs="Times New Roman"/>
          <w:sz w:val="21"/>
          <w:szCs w:val="21"/>
        </w:rPr>
        <w:t> </w:t>
      </w:r>
      <w:r>
        <w:rPr>
          <w:rFonts w:cs="Times New Roman" w:hint="eastAsia"/>
          <w:sz w:val="21"/>
          <w:szCs w:val="21"/>
        </w:rPr>
        <w:t>期权的有效期；③</w:t>
      </w:r>
      <w:r>
        <w:rPr>
          <w:rFonts w:ascii="Times New Roman" w:hAnsi="Times New Roman" w:cs="Times New Roman"/>
          <w:sz w:val="21"/>
          <w:szCs w:val="21"/>
        </w:rPr>
        <w:t> </w:t>
      </w:r>
      <w:r>
        <w:rPr>
          <w:rFonts w:cs="Times New Roman" w:hint="eastAsia"/>
          <w:sz w:val="21"/>
          <w:szCs w:val="21"/>
        </w:rPr>
        <w:t>标的股份的现行价格；④</w:t>
      </w:r>
      <w:r>
        <w:rPr>
          <w:rFonts w:ascii="Times New Roman" w:hAnsi="Times New Roman" w:cs="Times New Roman"/>
          <w:sz w:val="21"/>
          <w:szCs w:val="21"/>
        </w:rPr>
        <w:t> </w:t>
      </w:r>
      <w:r>
        <w:rPr>
          <w:rFonts w:cs="Times New Roman" w:hint="eastAsia"/>
          <w:sz w:val="21"/>
          <w:szCs w:val="21"/>
        </w:rPr>
        <w:t>股价预计波动率；⑤</w:t>
      </w:r>
      <w:r>
        <w:rPr>
          <w:rFonts w:ascii="Times New Roman" w:hAnsi="Times New Roman" w:cs="Times New Roman"/>
          <w:sz w:val="21"/>
          <w:szCs w:val="21"/>
        </w:rPr>
        <w:t> </w:t>
      </w:r>
      <w:r>
        <w:rPr>
          <w:rFonts w:cs="Times New Roman" w:hint="eastAsia"/>
          <w:sz w:val="21"/>
          <w:szCs w:val="21"/>
        </w:rPr>
        <w:t>股份的预计股利；⑥</w:t>
      </w:r>
      <w:r>
        <w:rPr>
          <w:rFonts w:ascii="Times New Roman" w:hAnsi="Times New Roman" w:cs="Times New Roman"/>
          <w:sz w:val="21"/>
          <w:szCs w:val="21"/>
        </w:rPr>
        <w:t> </w:t>
      </w:r>
      <w:r>
        <w:rPr>
          <w:rFonts w:cs="Times New Roman" w:hint="eastAsia"/>
          <w:sz w:val="21"/>
          <w:szCs w:val="21"/>
        </w:rPr>
        <w:t>期权有效期内的无风险利率；⑦</w:t>
      </w:r>
      <w:r>
        <w:rPr>
          <w:rFonts w:ascii="Times New Roman" w:hAnsi="Times New Roman" w:cs="Times New Roman"/>
          <w:sz w:val="21"/>
          <w:szCs w:val="21"/>
        </w:rPr>
        <w:t> </w:t>
      </w:r>
      <w:r>
        <w:rPr>
          <w:rFonts w:cs="Times New Roman" w:hint="eastAsia"/>
          <w:sz w:val="21"/>
          <w:szCs w:val="21"/>
        </w:rPr>
        <w:t>分期行权的股份支付。</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）确认可行权权益工具最佳估计的依据</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等待期内每个资产负债表日，公司根据最新取得的可行权职工人数变动等后续信息作出最佳估计，修正预计可行权的权益工具数量。在可行权日，最终预计可行权权益工具的数量应当与实际可行权数量一致。</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根据上述权益工具的公允价值和预计可行权的权益工具数量，计算截至当期累计应确认的成本费用金额，再减去前期累计已确认金额，作为当期应确认的成本费用金额。</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4</w:t>
      </w:r>
      <w:r>
        <w:rPr>
          <w:rFonts w:cs="Times New Roman" w:hint="eastAsia"/>
          <w:sz w:val="21"/>
          <w:szCs w:val="21"/>
        </w:rPr>
        <w:t>）实施、修改、终止股份支付计划的相关会计处理</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、以权益结算的股份支付</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换取其他方服务的权益结算的股份支付，如果其他方服务的公允价值能够可靠计量的，按照其他方服务在取得日的公允价值计量；如果其他方服务的公允价值不能可靠计量，但权益工具的公允价值能</w:t>
      </w:r>
      <w:r>
        <w:rPr>
          <w:rFonts w:cs="Times New Roman" w:hint="eastAsia"/>
          <w:sz w:val="21"/>
          <w:szCs w:val="21"/>
        </w:rPr>
        <w:lastRenderedPageBreak/>
        <w:t>够可靠计量的，按照权益工具在服务取得日的公允价值计量，计入相关成本或费用，相应增加所有者权益。</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、以现金结算的股份支付</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授予后立即可行权的换取职工服务的以现金结算的股份支付，在授予日按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公司承担负债的公允价值，将当期取得的服务计入相关成本或费用和相应的负债。</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、修改、终止股份支付计划</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如果修改增加了所授予的权益工具的公允价值，公司按照权益工具公允价值的增加相应地确认取得服务的增加；如果修改增加了所授予的权益工具的数量，公司将增加的权益工具的公允价值相应地确认为取得服务的增加；如果公司按照有利于职工的方式修改可行权条件，公司在处理可行权条件时，考虑修改后的可行权条件。如果修改减少了授予的权益工具的公允价值，公司继续以权益工具在授予日的公允价值为基础，确认取得服务的金额，而不考虑权益工具公允价值的减少；如果修改减少了授予的权益工具的数量，公司将减少部分作为已授予的权益工具的取消来进行处理；如果以不利于职工的方式修改了可行权条件，在处理可行权条件时，不考虑修改后的可行权条件。</w:t>
      </w:r>
    </w:p>
    <w:p w:rsidR="00E22F4C" w:rsidRDefault="00E22F4C">
      <w:pPr>
        <w:pStyle w:val="a4"/>
        <w:spacing w:before="120" w:beforeAutospacing="0" w:after="0" w:afterAutospacing="0" w:line="440" w:lineRule="atLeast"/>
        <w:ind w:firstLine="424"/>
        <w:jc w:val="both"/>
        <w:divId w:val="150875375"/>
        <w:rPr>
          <w:rFonts w:ascii="Times New Roman" w:hAnsi="Times New Roman" w:cs="Times New Roman"/>
          <w:sz w:val="21"/>
          <w:szCs w:val="21"/>
        </w:rPr>
      </w:pPr>
      <w:r>
        <w:rPr>
          <w:rFonts w:cs="Times New Roman" w:hint="eastAsia"/>
          <w:sz w:val="21"/>
          <w:szCs w:val="21"/>
        </w:rPr>
        <w:t>如果公司在等待期内取消了所授予的权益工具或结算了所授予的权益工具（因未满足可行权条件而被取消的除外），则将取消或结算作为加速可行权处理，立即确认原本在剩余等待期内确认的金额。在取消或结算时支付给职工的所有款项均应作为权益的回购处理</w:t>
      </w:r>
      <w:r>
        <w:rPr>
          <w:rFonts w:ascii="Times New Roman" w:hAnsi="Times New Roman" w:cs="Times New Roman"/>
          <w:sz w:val="21"/>
          <w:szCs w:val="21"/>
        </w:rPr>
        <w:t>,</w:t>
      </w:r>
      <w:r>
        <w:rPr>
          <w:rFonts w:cs="Times New Roman" w:hint="eastAsia"/>
          <w:sz w:val="21"/>
          <w:szCs w:val="21"/>
        </w:rPr>
        <w:t>回购支付的金额高于该权益工具在回购日公允价值的部分</w:t>
      </w:r>
      <w:r>
        <w:rPr>
          <w:rFonts w:ascii="Times New Roman" w:hAnsi="Times New Roman" w:cs="Times New Roman"/>
          <w:sz w:val="21"/>
          <w:szCs w:val="21"/>
        </w:rPr>
        <w:t>,</w:t>
      </w:r>
      <w:r>
        <w:rPr>
          <w:rFonts w:cs="Times New Roman" w:hint="eastAsia"/>
          <w:sz w:val="21"/>
          <w:szCs w:val="21"/>
        </w:rPr>
        <w:t>计入当期费用。如果向职工授予新的权益工具</w:t>
      </w:r>
      <w:r>
        <w:rPr>
          <w:rFonts w:ascii="Times New Roman" w:hAnsi="Times New Roman" w:cs="Times New Roman"/>
          <w:sz w:val="21"/>
          <w:szCs w:val="21"/>
        </w:rPr>
        <w:t>,</w:t>
      </w:r>
      <w:r>
        <w:rPr>
          <w:rFonts w:cs="Times New Roman" w:hint="eastAsia"/>
          <w:sz w:val="21"/>
          <w:szCs w:val="21"/>
        </w:rPr>
        <w:t>并在新权益工具授予日认定所授予的新权益工具是用于替代被取消的权益工具的</w:t>
      </w:r>
      <w:r>
        <w:rPr>
          <w:rFonts w:ascii="Times New Roman" w:hAnsi="Times New Roman" w:cs="Times New Roman"/>
          <w:sz w:val="21"/>
          <w:szCs w:val="21"/>
        </w:rPr>
        <w:t>,</w:t>
      </w:r>
      <w:r>
        <w:rPr>
          <w:rFonts w:cs="Times New Roman" w:hint="eastAsia"/>
          <w:sz w:val="21"/>
          <w:szCs w:val="21"/>
        </w:rPr>
        <w:t>以处理原权益工具条款和条件修改相同的方式</w:t>
      </w:r>
      <w:r>
        <w:rPr>
          <w:rFonts w:ascii="Times New Roman" w:hAnsi="Times New Roman" w:cs="Times New Roman"/>
          <w:sz w:val="21"/>
          <w:szCs w:val="21"/>
        </w:rPr>
        <w:t>,</w:t>
      </w:r>
      <w:r>
        <w:rPr>
          <w:rFonts w:cs="Times New Roman" w:hint="eastAsia"/>
          <w:sz w:val="21"/>
          <w:szCs w:val="21"/>
        </w:rPr>
        <w:t>对所授予的替代权益工具进行处理。如果回购其职工已可行权的权益工具</w:t>
      </w:r>
      <w:r>
        <w:rPr>
          <w:rFonts w:ascii="Times New Roman" w:hAnsi="Times New Roman" w:cs="Times New Roman"/>
          <w:sz w:val="21"/>
          <w:szCs w:val="21"/>
        </w:rPr>
        <w:t>,</w:t>
      </w:r>
      <w:r>
        <w:rPr>
          <w:rFonts w:cs="Times New Roman" w:hint="eastAsia"/>
          <w:sz w:val="21"/>
          <w:szCs w:val="21"/>
        </w:rPr>
        <w:t>借记所有者权益</w:t>
      </w:r>
      <w:r>
        <w:rPr>
          <w:rFonts w:ascii="Times New Roman" w:hAnsi="Times New Roman" w:cs="Times New Roman"/>
          <w:sz w:val="21"/>
          <w:szCs w:val="21"/>
        </w:rPr>
        <w:t>,</w:t>
      </w:r>
      <w:r>
        <w:rPr>
          <w:rFonts w:cs="Times New Roman" w:hint="eastAsia"/>
          <w:sz w:val="21"/>
          <w:szCs w:val="21"/>
        </w:rPr>
        <w:t>回购支付的金额高于该权益工具在回购日公允价值的部分</w:t>
      </w:r>
      <w:r>
        <w:rPr>
          <w:rFonts w:ascii="Times New Roman" w:hAnsi="Times New Roman" w:cs="Times New Roman"/>
          <w:sz w:val="21"/>
          <w:szCs w:val="21"/>
        </w:rPr>
        <w:t>,</w:t>
      </w:r>
      <w:r>
        <w:rPr>
          <w:rFonts w:cs="Times New Roman" w:hint="eastAsia"/>
          <w:sz w:val="21"/>
          <w:szCs w:val="21"/>
        </w:rPr>
        <w:t>计入当期费用。</w:t>
      </w:r>
    </w:p>
    <w:p w:rsidR="00E22F4C" w:rsidRDefault="00381575">
      <w:pPr>
        <w:pStyle w:val="3"/>
        <w:spacing w:line="280" w:lineRule="exact"/>
        <w:jc w:val="left"/>
        <w:rPr>
          <w:rFonts w:ascii="宋体" w:hAnsi="宋体" w:cs="宋体"/>
          <w:b/>
          <w:bCs/>
        </w:rPr>
      </w:pPr>
      <w:bookmarkStart w:id="223" w:name="_Toc989112"/>
      <w:r>
        <w:rPr>
          <w:rFonts w:ascii="宋体" w:hAnsi="宋体" w:cs="宋体"/>
          <w:b/>
          <w:bCs/>
        </w:rPr>
        <w:t>38、优先股、永续债等其他金融工具</w:t>
      </w:r>
      <w:bookmarkEnd w:id="223"/>
    </w:p>
    <w:p w:rsidR="00E22F4C" w:rsidRDefault="00E22F4C">
      <w:pPr>
        <w:divId w:val="746534245"/>
        <w:rPr>
          <w:sz w:val="18"/>
          <w:szCs w:val="18"/>
        </w:rPr>
      </w:pPr>
    </w:p>
    <w:p w:rsidR="00E22F4C" w:rsidRDefault="00381575">
      <w:pPr>
        <w:pStyle w:val="3"/>
        <w:spacing w:line="280" w:lineRule="exact"/>
        <w:jc w:val="left"/>
        <w:rPr>
          <w:rFonts w:ascii="宋体" w:hAnsi="宋体" w:cs="宋体"/>
          <w:b/>
          <w:bCs/>
        </w:rPr>
      </w:pPr>
      <w:bookmarkStart w:id="224" w:name="_Toc989113"/>
      <w:r>
        <w:rPr>
          <w:rFonts w:ascii="宋体" w:hAnsi="宋体" w:cs="宋体"/>
          <w:b/>
          <w:bCs/>
        </w:rPr>
        <w:t>39、收入</w:t>
      </w:r>
      <w:bookmarkEnd w:id="22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收入确认和计量所采用的会计政策</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）收入确认和计量所采用的会计政策</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lastRenderedPageBreak/>
        <w:t>公司在履行了合同中的履约义务，即在客户取得相关商品控制权时确认收入。取得相关商品控制权，是指能够主导该商品的使用并从中获得几乎全部的经济利益。</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t>合同中包含两项或多项履约义务的，公司在合同开始日，按照各单项履约义务所承诺商品或服务的单独售价的相对比例，将交易价格分摊至各单项履约义务，按照分摊至各单项履约义务的交易价格计量收入。</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t>交易价格是公司因向客户转让商品或服务而预期有权收取的对价金额，不包括代第三方收取的款项。在确定合同交易价格时，如果存在可变对价，公司按照期望值或最可能发生金额确定可变对价的最佳估计数， 并以不超过在相关不确定性消除时累计已确认收入极可能不会发生重大转回的金额计入交易价格。合同中如果存在重大融资成分，公司将根据客户在取得商品控制权时即以现金支付的应付金额确定交易价格，该交易价格与合同对价之间的差额，在合同期间内采用实际利率法摊销， 对于控制权转移与客户支付价款间隔未超过一年的，公司不考虑其中的融资成分。</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t>满足下列条件之一的，属于在某一时段内履行履约义务；否则，属于在某一时点履行履约义务：</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、客户在公司履约的同时即取得并消耗公司履约所带来的经济利益；</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、客户能够控制公司履约过程中在建的商品；</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、公司履约过程中所产出的商品具有不可替代用途，且公司在整个合同期间有权就累计至今已完成的履约部分收取款项。</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t>对于在某一时段内履行的履约义务，公司在该段时间内按照履约进度确认收入，但是，履约进度不能合理确定的除外。公司按照投入法（或产出法）确定提供服务的履约进度。当履约进度不能合理确定时，公司已经发生的成本预计能够得到补偿的，按照已经发生的成本金额确认收入，直到履约进度能够合理确定为止。</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t>对于在某一时点履行的履约义务，公司在客户取得相关商品控制权时点确认收入。在判断客户是否已取得商品或服务控制权时，公司会考虑下列迹象</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、公司就该商品或服务享有现时收款权利，即客户就该商品负有现时付款义务</w:t>
      </w:r>
      <w:r>
        <w:rPr>
          <w:rFonts w:ascii="Times New Roman" w:hAnsi="Times New Roman" w:cs="Times New Roman"/>
          <w:sz w:val="21"/>
          <w:szCs w:val="21"/>
        </w:rPr>
        <w:t>;</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、公司已将该商品的法定所有权转移给客户，即客户已拥有该商品的法定所有权</w:t>
      </w:r>
      <w:r>
        <w:rPr>
          <w:rFonts w:ascii="Times New Roman" w:hAnsi="Times New Roman" w:cs="Times New Roman"/>
          <w:sz w:val="21"/>
          <w:szCs w:val="21"/>
        </w:rPr>
        <w:t>;</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ascii="Times New Roman" w:hAnsi="Times New Roman" w:cs="Times New Roman"/>
          <w:sz w:val="21"/>
          <w:szCs w:val="21"/>
        </w:rPr>
        <w:t>C</w:t>
      </w:r>
      <w:r>
        <w:rPr>
          <w:rFonts w:cs="Times New Roman" w:hint="eastAsia"/>
          <w:sz w:val="21"/>
          <w:szCs w:val="21"/>
        </w:rPr>
        <w:t>、公司已将该商品的实物转移给客户，即客户已实物占有该商品；</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ascii="Times New Roman" w:hAnsi="Times New Roman" w:cs="Times New Roman"/>
          <w:sz w:val="21"/>
          <w:szCs w:val="21"/>
        </w:rPr>
        <w:t>D</w:t>
      </w:r>
      <w:r>
        <w:rPr>
          <w:rFonts w:cs="Times New Roman" w:hint="eastAsia"/>
          <w:sz w:val="21"/>
          <w:szCs w:val="21"/>
        </w:rPr>
        <w:t>、公司已将该商品所有权上的主要风险和报酬转移给客户，即客户已取得该商品所有权上的主要风险和报酬；</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ascii="Times New Roman" w:hAnsi="Times New Roman" w:cs="Times New Roman"/>
          <w:sz w:val="21"/>
          <w:szCs w:val="21"/>
        </w:rPr>
        <w:t>E</w:t>
      </w:r>
      <w:r>
        <w:rPr>
          <w:rFonts w:cs="Times New Roman" w:hint="eastAsia"/>
          <w:sz w:val="21"/>
          <w:szCs w:val="21"/>
        </w:rPr>
        <w:t>、客户已接受该商品。</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lastRenderedPageBreak/>
        <w:t>对于公司自第三方取得贸易类商品控制权后，再转让给客户，公司有权自主决定所交易商品的价格，即公司在向客户转让贸易类商品前能够控制该商品，因此公司是主要责任人，按照已收或应收对价总额确认收入。否则，公司为代理人，按照预期有权收取的佣金或手续费的金额确认收入，该金额应当按照已收或应收对价总额扣除应支付给其他相关方的价款后的净额，或者按照既定的佣金金额或比例等确定。</w:t>
      </w:r>
    </w:p>
    <w:p w:rsidR="00E22F4C" w:rsidRDefault="00E22F4C">
      <w:pPr>
        <w:pStyle w:val="a4"/>
        <w:spacing w:before="120" w:beforeAutospacing="0" w:after="0" w:afterAutospacing="0" w:line="460" w:lineRule="atLeast"/>
        <w:ind w:firstLine="420"/>
        <w:jc w:val="both"/>
        <w:divId w:val="178064013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）公司收入实现的具体核算原则为：</w:t>
      </w:r>
    </w:p>
    <w:p w:rsidR="00E22F4C" w:rsidRDefault="00E22F4C">
      <w:pPr>
        <w:pStyle w:val="a4"/>
        <w:spacing w:before="120" w:beforeAutospacing="0" w:after="0" w:afterAutospacing="0" w:line="440" w:lineRule="atLeast"/>
        <w:ind w:firstLine="424"/>
        <w:jc w:val="both"/>
        <w:divId w:val="1780640138"/>
        <w:rPr>
          <w:rFonts w:ascii="Times New Roman" w:hAnsi="Times New Roman" w:cs="Times New Roman"/>
          <w:sz w:val="21"/>
          <w:szCs w:val="21"/>
        </w:rPr>
      </w:pPr>
      <w:r>
        <w:rPr>
          <w:rFonts w:cs="Times New Roman" w:hint="eastAsia"/>
          <w:sz w:val="21"/>
          <w:szCs w:val="21"/>
        </w:rPr>
        <w:t>公司与客户之间的销售商品合同，属于在某一时点履行履约义务。</w:t>
      </w:r>
    </w:p>
    <w:tbl>
      <w:tblPr>
        <w:tblW w:w="8804" w:type="dxa"/>
        <w:tblCellMar>
          <w:top w:w="15" w:type="dxa"/>
          <w:left w:w="15" w:type="dxa"/>
          <w:bottom w:w="15" w:type="dxa"/>
          <w:right w:w="15" w:type="dxa"/>
        </w:tblCellMar>
        <w:tblLook w:val="04A0"/>
      </w:tblPr>
      <w:tblGrid>
        <w:gridCol w:w="1152"/>
        <w:gridCol w:w="7652"/>
      </w:tblGrid>
      <w:tr w:rsidR="00E22F4C">
        <w:trPr>
          <w:divId w:val="1780640138"/>
          <w:trHeight w:val="604"/>
        </w:trPr>
        <w:tc>
          <w:tcPr>
            <w:tcW w:w="11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Style w:val="a5"/>
                <w:rFonts w:cs="Times New Roman" w:hint="eastAsia"/>
                <w:color w:val="000000"/>
                <w:sz w:val="21"/>
                <w:szCs w:val="21"/>
              </w:rPr>
              <w:t>内</w:t>
            </w:r>
            <w:r>
              <w:rPr>
                <w:rStyle w:val="a5"/>
                <w:rFonts w:ascii="Times New Roman" w:hAnsi="Times New Roman" w:cs="Times New Roman"/>
                <w:color w:val="000000"/>
                <w:sz w:val="21"/>
                <w:szCs w:val="21"/>
              </w:rPr>
              <w:t>/</w:t>
            </w:r>
            <w:r>
              <w:rPr>
                <w:rStyle w:val="a5"/>
                <w:rFonts w:cs="Times New Roman" w:hint="eastAsia"/>
                <w:color w:val="000000"/>
                <w:sz w:val="21"/>
                <w:szCs w:val="21"/>
              </w:rPr>
              <w:t>外销</w:t>
            </w:r>
          </w:p>
        </w:tc>
        <w:tc>
          <w:tcPr>
            <w:tcW w:w="76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Style w:val="a5"/>
                <w:rFonts w:cs="Times New Roman" w:hint="eastAsia"/>
                <w:color w:val="000000"/>
                <w:sz w:val="21"/>
                <w:szCs w:val="21"/>
              </w:rPr>
              <w:t>具体收入确认原则</w:t>
            </w:r>
          </w:p>
        </w:tc>
      </w:tr>
      <w:tr w:rsidR="00E22F4C">
        <w:trPr>
          <w:divId w:val="1780640138"/>
          <w:trHeight w:val="543"/>
        </w:trPr>
        <w:tc>
          <w:tcPr>
            <w:tcW w:w="11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color w:val="000000"/>
                <w:sz w:val="21"/>
                <w:szCs w:val="21"/>
              </w:rPr>
              <w:t>内销</w:t>
            </w:r>
          </w:p>
        </w:tc>
        <w:tc>
          <w:tcPr>
            <w:tcW w:w="7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rPr>
                <w:rFonts w:ascii="Times New Roman" w:hAnsi="Times New Roman" w:cs="Times New Roman"/>
                <w:sz w:val="21"/>
                <w:szCs w:val="21"/>
              </w:rPr>
            </w:pPr>
            <w:r>
              <w:rPr>
                <w:rFonts w:cs="Times New Roman" w:hint="eastAsia"/>
                <w:sz w:val="21"/>
                <w:szCs w:val="21"/>
              </w:rPr>
              <w:t>按购货方要求将产品交付客户并验收确认。</w:t>
            </w:r>
          </w:p>
        </w:tc>
      </w:tr>
      <w:tr w:rsidR="00E22F4C">
        <w:trPr>
          <w:divId w:val="1780640138"/>
          <w:trHeight w:val="565"/>
        </w:trPr>
        <w:tc>
          <w:tcPr>
            <w:tcW w:w="11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color w:val="000000"/>
                <w:sz w:val="21"/>
                <w:szCs w:val="21"/>
              </w:rPr>
              <w:t>外销</w:t>
            </w:r>
          </w:p>
        </w:tc>
        <w:tc>
          <w:tcPr>
            <w:tcW w:w="7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rPr>
                <w:rFonts w:ascii="Times New Roman" w:hAnsi="Times New Roman" w:cs="Times New Roman"/>
                <w:sz w:val="21"/>
                <w:szCs w:val="21"/>
              </w:rPr>
            </w:pPr>
            <w:r>
              <w:rPr>
                <w:rFonts w:cs="Times New Roman" w:hint="eastAsia"/>
                <w:color w:val="000000"/>
                <w:sz w:val="21"/>
                <w:szCs w:val="21"/>
              </w:rPr>
              <w:t>采取海运方式报关出口，以商品装船越过船舷作为风险转移时点确认收入，公司取得报关单、出口装船提单。</w:t>
            </w:r>
          </w:p>
        </w:tc>
      </w:tr>
    </w:tbl>
    <w:p w:rsidR="00E22F4C" w:rsidRDefault="00E22F4C">
      <w:pPr>
        <w:divId w:val="1780640138"/>
        <w:rPr>
          <w:rFonts w:ascii="宋体" w:hAnsi="宋体" w:cs="宋体"/>
          <w:sz w:val="24"/>
          <w:szCs w:val="24"/>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同类业务采用不同经营模式导致收入确认会计政策存在差异的情况</w:t>
      </w:r>
    </w:p>
    <w:p w:rsidR="00E22F4C" w:rsidRDefault="00E22F4C">
      <w:pPr>
        <w:divId w:val="2126383289"/>
        <w:rPr>
          <w:sz w:val="18"/>
          <w:szCs w:val="18"/>
        </w:rPr>
      </w:pPr>
    </w:p>
    <w:p w:rsidR="00E22F4C" w:rsidRDefault="00381575">
      <w:pPr>
        <w:pStyle w:val="3"/>
        <w:spacing w:line="280" w:lineRule="exact"/>
        <w:jc w:val="left"/>
        <w:rPr>
          <w:rFonts w:ascii="宋体" w:hAnsi="宋体" w:cs="宋体"/>
          <w:b/>
          <w:bCs/>
        </w:rPr>
      </w:pPr>
      <w:bookmarkStart w:id="225" w:name="_Toc989114"/>
      <w:r>
        <w:rPr>
          <w:rFonts w:ascii="宋体" w:hAnsi="宋体" w:cs="宋体"/>
          <w:b/>
          <w:bCs/>
        </w:rPr>
        <w:t>40、政府补助</w:t>
      </w:r>
      <w:bookmarkEnd w:id="225"/>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t>政府补助是指公司从政府无偿取得货币性资产和非货币性资产，不包括政府作为所有者投入的资本。</w:t>
      </w:r>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t>本公司在能够满足政府补助所附条件且能够收到政府补助时确认政府补助。其中：</w:t>
      </w:r>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）政府补助为货币性资产的，按收到或应收的金额计量；政府补助为非货币性资产的，按公允价值计量，如公允价值不能可靠取得，则按名义金额计量。</w:t>
      </w:r>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与资产相关的政府补助，冲减相关资产的账面价值或确认为递延收益。与资产相关的政府补助确认为递延收益的，在相关资产使用寿命内按照合理、系统的方法分期计入损益。按照名义金额计量的政府补助，直接计入当期损益。与收益相关的政府补助，用于补偿以后期间的相关费用和损失的，确认为递延收益，并在确认相关费用的期间计入当期损益或冲减相关成本；用于补偿已经发生的相关费用和损失的，直接计入当期损益或冲减相关成本。</w:t>
      </w:r>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）与企业日常活动相关的政府补助，按照经济业务实质，计入其他收益或冲减相关成本费用。与企业日常活动无关的政府补助，计入营业外收支。</w:t>
      </w:r>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t>已确认的政府补助需要退回的，在需要退回的当期分情况按照以下规定进行会计处理：</w:t>
      </w:r>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）初始确认时冲减相关资产账面价值的，调整资产账面价值；</w:t>
      </w:r>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lastRenderedPageBreak/>
        <w:t>（</w:t>
      </w:r>
      <w:r>
        <w:rPr>
          <w:rFonts w:ascii="Times New Roman" w:hAnsi="Times New Roman" w:cs="Times New Roman"/>
          <w:sz w:val="21"/>
          <w:szCs w:val="21"/>
        </w:rPr>
        <w:t>2</w:t>
      </w:r>
      <w:r>
        <w:rPr>
          <w:rFonts w:cs="Times New Roman" w:hint="eastAsia"/>
          <w:sz w:val="21"/>
          <w:szCs w:val="21"/>
        </w:rPr>
        <w:t>）存在相关递延收益的，冲减相关递延收益账面余额，超出部分计入当期损益；</w:t>
      </w:r>
    </w:p>
    <w:p w:rsidR="00E22F4C" w:rsidRDefault="00E22F4C">
      <w:pPr>
        <w:pStyle w:val="a4"/>
        <w:spacing w:before="120" w:beforeAutospacing="0" w:after="0" w:afterAutospacing="0" w:line="440" w:lineRule="atLeast"/>
        <w:ind w:firstLine="359"/>
        <w:jc w:val="both"/>
        <w:divId w:val="978343081"/>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）属于其他情况的，直接计入当期损益。</w:t>
      </w:r>
    </w:p>
    <w:p w:rsidR="00E22F4C" w:rsidRDefault="00381575">
      <w:pPr>
        <w:pStyle w:val="3"/>
        <w:spacing w:line="280" w:lineRule="exact"/>
        <w:jc w:val="left"/>
        <w:rPr>
          <w:rFonts w:ascii="宋体" w:hAnsi="宋体" w:cs="宋体"/>
          <w:b/>
          <w:bCs/>
        </w:rPr>
      </w:pPr>
      <w:bookmarkStart w:id="226" w:name="_Toc989115"/>
      <w:r>
        <w:rPr>
          <w:rFonts w:ascii="宋体" w:hAnsi="宋体" w:cs="宋体"/>
          <w:b/>
          <w:bCs/>
        </w:rPr>
        <w:t>41、递延所得税资产/递延所得税负债</w:t>
      </w:r>
      <w:bookmarkEnd w:id="226"/>
    </w:p>
    <w:p w:rsidR="00E22F4C" w:rsidRDefault="00E22F4C">
      <w:pPr>
        <w:pStyle w:val="a4"/>
        <w:spacing w:before="120" w:beforeAutospacing="0" w:after="0" w:afterAutospacing="0" w:line="440" w:lineRule="atLeast"/>
        <w:ind w:firstLine="420"/>
        <w:jc w:val="both"/>
        <w:divId w:val="767868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）所得税的核算方法</w:t>
      </w:r>
    </w:p>
    <w:p w:rsidR="00E22F4C" w:rsidRDefault="00E22F4C">
      <w:pPr>
        <w:pStyle w:val="a4"/>
        <w:spacing w:before="120" w:beforeAutospacing="0" w:after="0" w:afterAutospacing="0" w:line="440" w:lineRule="atLeast"/>
        <w:ind w:firstLine="420"/>
        <w:jc w:val="both"/>
        <w:divId w:val="7678688"/>
        <w:rPr>
          <w:rFonts w:ascii="Times New Roman" w:hAnsi="Times New Roman" w:cs="Times New Roman"/>
          <w:sz w:val="21"/>
          <w:szCs w:val="21"/>
        </w:rPr>
      </w:pPr>
      <w:r>
        <w:rPr>
          <w:rFonts w:cs="Times New Roman" w:hint="eastAsia"/>
          <w:sz w:val="21"/>
          <w:szCs w:val="21"/>
        </w:rPr>
        <w:t>所得税费用的会计处理采用资产负债表债务法核算。资产负债表日，公司按照可抵扣暂时性差异与适用所得税税率计算的结果，确认递延所得税资产及相应的递延所得税收益；按照应纳税暂时性差异与适用企业所得税税率计算的结果，确认递延所得税负债及相应的递延所得税费用。</w:t>
      </w:r>
    </w:p>
    <w:p w:rsidR="00E22F4C" w:rsidRDefault="00E22F4C">
      <w:pPr>
        <w:pStyle w:val="a4"/>
        <w:spacing w:before="120" w:beforeAutospacing="0" w:after="0" w:afterAutospacing="0" w:line="440" w:lineRule="atLeast"/>
        <w:ind w:firstLine="420"/>
        <w:jc w:val="both"/>
        <w:divId w:val="767868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）递延所得税资产的确认</w:t>
      </w:r>
    </w:p>
    <w:p w:rsidR="00E22F4C" w:rsidRDefault="00E22F4C">
      <w:pPr>
        <w:pStyle w:val="a4"/>
        <w:spacing w:before="120" w:beforeAutospacing="0" w:after="0" w:afterAutospacing="0" w:line="440" w:lineRule="atLeast"/>
        <w:ind w:firstLine="420"/>
        <w:jc w:val="both"/>
        <w:divId w:val="7678688"/>
        <w:rPr>
          <w:rFonts w:ascii="Times New Roman" w:hAnsi="Times New Roman" w:cs="Times New Roman"/>
          <w:sz w:val="21"/>
          <w:szCs w:val="21"/>
        </w:rPr>
      </w:pPr>
      <w:r>
        <w:rPr>
          <w:rFonts w:cs="Times New Roman" w:hint="eastAsia"/>
          <w:sz w:val="21"/>
          <w:szCs w:val="21"/>
        </w:rPr>
        <w:t>对于可抵扣暂时性差异、能够结转以后年度的可抵扣亏损和税款抵减，公司以很可能取得用来抵扣可抵扣暂时性差异、可抵扣亏损和税款抵减的未来应纳税所得额为限，确认由此产生的递延所得税资产，除非可抵扣暂时性差异是在以下交易中产生的：</w:t>
      </w:r>
    </w:p>
    <w:p w:rsidR="00E22F4C" w:rsidRDefault="00E22F4C">
      <w:pPr>
        <w:pStyle w:val="a4"/>
        <w:spacing w:before="120" w:beforeAutospacing="0" w:after="0" w:afterAutospacing="0" w:line="440" w:lineRule="atLeast"/>
        <w:ind w:firstLine="420"/>
        <w:jc w:val="both"/>
        <w:divId w:val="7678688"/>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、该交易不是企业合并，并且交易发生时既不影响会计利润也不影响应纳税所得额。</w:t>
      </w:r>
    </w:p>
    <w:p w:rsidR="00E22F4C" w:rsidRDefault="00E22F4C">
      <w:pPr>
        <w:pStyle w:val="a4"/>
        <w:spacing w:before="120" w:beforeAutospacing="0" w:after="0" w:afterAutospacing="0" w:line="440" w:lineRule="atLeast"/>
        <w:ind w:firstLine="420"/>
        <w:jc w:val="both"/>
        <w:divId w:val="7678688"/>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E22F4C" w:rsidRDefault="00E22F4C">
      <w:pPr>
        <w:pStyle w:val="a4"/>
        <w:spacing w:before="120" w:beforeAutospacing="0" w:after="0" w:afterAutospacing="0" w:line="440" w:lineRule="atLeast"/>
        <w:ind w:firstLine="420"/>
        <w:jc w:val="both"/>
        <w:divId w:val="767868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）递延所得税负债的确认</w:t>
      </w:r>
    </w:p>
    <w:p w:rsidR="00E22F4C" w:rsidRDefault="00E22F4C">
      <w:pPr>
        <w:pStyle w:val="a4"/>
        <w:spacing w:before="120" w:beforeAutospacing="0" w:after="0" w:afterAutospacing="0" w:line="440" w:lineRule="atLeast"/>
        <w:ind w:firstLine="424"/>
        <w:divId w:val="7678688"/>
        <w:rPr>
          <w:rFonts w:ascii="Times New Roman" w:hAnsi="Times New Roman" w:cs="Times New Roman"/>
          <w:sz w:val="21"/>
          <w:szCs w:val="21"/>
        </w:rPr>
      </w:pPr>
      <w:r>
        <w:rPr>
          <w:rFonts w:cs="Times New Roman" w:hint="eastAsia"/>
          <w:sz w:val="21"/>
          <w:szCs w:val="21"/>
        </w:rPr>
        <w:t>对于各种应纳税暂时性差异均据以确认递延所得税负债，除非应纳税暂时性差异是在以下交易中产生的：</w:t>
      </w:r>
    </w:p>
    <w:p w:rsidR="00E22F4C" w:rsidRDefault="00E22F4C">
      <w:pPr>
        <w:pStyle w:val="a4"/>
        <w:spacing w:before="120" w:beforeAutospacing="0" w:after="0" w:afterAutospacing="0" w:line="440" w:lineRule="atLeast"/>
        <w:ind w:firstLine="424"/>
        <w:divId w:val="7678688"/>
        <w:rPr>
          <w:rFonts w:ascii="Times New Roman" w:hAnsi="Times New Roman" w:cs="Times New Roman"/>
          <w:sz w:val="21"/>
          <w:szCs w:val="21"/>
        </w:rPr>
      </w:pPr>
      <w:r>
        <w:rPr>
          <w:rFonts w:ascii="Times New Roman" w:hAnsi="Times New Roman" w:cs="Times New Roman"/>
          <w:sz w:val="21"/>
          <w:szCs w:val="21"/>
        </w:rPr>
        <w:t>A</w:t>
      </w:r>
      <w:r>
        <w:rPr>
          <w:rFonts w:cs="Times New Roman" w:hint="eastAsia"/>
          <w:sz w:val="21"/>
          <w:szCs w:val="21"/>
        </w:rPr>
        <w:t>、商誉的初始确认，或者具有以下特征的交易中产生的资产或负债的初始确认：该交易不是企业合并，并且交易发生时既不影响会计利润也不影响应纳税所得额；</w:t>
      </w:r>
    </w:p>
    <w:p w:rsidR="00E22F4C" w:rsidRDefault="00E22F4C">
      <w:pPr>
        <w:pStyle w:val="a4"/>
        <w:spacing w:before="120" w:beforeAutospacing="0" w:after="0" w:afterAutospacing="0" w:line="440" w:lineRule="atLeast"/>
        <w:ind w:firstLine="424"/>
        <w:divId w:val="7678688"/>
        <w:rPr>
          <w:rFonts w:ascii="Times New Roman" w:hAnsi="Times New Roman" w:cs="Times New Roman"/>
          <w:sz w:val="21"/>
          <w:szCs w:val="21"/>
        </w:rPr>
      </w:pPr>
      <w:r>
        <w:rPr>
          <w:rFonts w:ascii="Times New Roman" w:hAnsi="Times New Roman" w:cs="Times New Roman"/>
          <w:sz w:val="21"/>
          <w:szCs w:val="21"/>
        </w:rPr>
        <w:t>B</w:t>
      </w:r>
      <w:r>
        <w:rPr>
          <w:rFonts w:cs="Times New Roman" w:hint="eastAsia"/>
          <w:sz w:val="21"/>
          <w:szCs w:val="21"/>
        </w:rPr>
        <w:t>、对于与子公司、合营企业及联营企业投资相关的应纳税暂时性差异，该暂时性差异转回的时间能够控制并且该暂时性差异在可预见的未来很可能不会转回。</w:t>
      </w:r>
    </w:p>
    <w:p w:rsidR="00E22F4C" w:rsidRDefault="00E22F4C">
      <w:pPr>
        <w:pStyle w:val="a4"/>
        <w:spacing w:before="120" w:beforeAutospacing="0" w:after="0" w:afterAutospacing="0" w:line="440" w:lineRule="atLeast"/>
        <w:ind w:firstLine="420"/>
        <w:jc w:val="both"/>
        <w:divId w:val="767868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4</w:t>
      </w:r>
      <w:r>
        <w:rPr>
          <w:rFonts w:cs="Times New Roman" w:hint="eastAsia"/>
          <w:sz w:val="21"/>
          <w:szCs w:val="21"/>
        </w:rPr>
        <w:t>）递延所得税资产的减值</w:t>
      </w:r>
    </w:p>
    <w:p w:rsidR="00E22F4C" w:rsidRDefault="00E22F4C">
      <w:pPr>
        <w:pStyle w:val="a4"/>
        <w:spacing w:before="120" w:beforeAutospacing="0" w:after="0" w:afterAutospacing="0" w:line="440" w:lineRule="atLeast"/>
        <w:ind w:firstLine="359"/>
        <w:jc w:val="both"/>
        <w:divId w:val="7678688"/>
        <w:rPr>
          <w:rFonts w:ascii="Times New Roman" w:hAnsi="Times New Roman" w:cs="Times New Roman"/>
          <w:sz w:val="21"/>
          <w:szCs w:val="21"/>
        </w:rPr>
      </w:pPr>
      <w:r>
        <w:rPr>
          <w:rFonts w:cs="Times New Roman" w:hint="eastAsia"/>
          <w:sz w:val="21"/>
          <w:szCs w:val="21"/>
        </w:rPr>
        <w:t>在资产负债表日应当对递延所得税资产的账面价值进行复核。如果未来期间很可能无法取得足够的应纳税所得额用以抵扣递延所得税资产的利益，则减记递延所得税资产的账面价值。除原确认时计入所有者权益的递延所得税资产部分，其减记金额也应计入所有者权益外</w:t>
      </w:r>
      <w:r>
        <w:rPr>
          <w:rFonts w:ascii="Times New Roman" w:hAnsi="Times New Roman" w:cs="Times New Roman"/>
          <w:sz w:val="21"/>
          <w:szCs w:val="21"/>
        </w:rPr>
        <w:t>,</w:t>
      </w:r>
      <w:r>
        <w:rPr>
          <w:rFonts w:cs="Times New Roman" w:hint="eastAsia"/>
          <w:sz w:val="21"/>
          <w:szCs w:val="21"/>
        </w:rPr>
        <w:t>其他的情况应减记当期的所得税费用。在很可能取得足够的应纳税所得额时，减记的递延所得税资产账面价值可以恢复。</w:t>
      </w:r>
    </w:p>
    <w:p w:rsidR="00E22F4C" w:rsidRDefault="00381575">
      <w:pPr>
        <w:pStyle w:val="3"/>
        <w:spacing w:line="280" w:lineRule="exact"/>
        <w:jc w:val="left"/>
        <w:rPr>
          <w:rFonts w:ascii="宋体" w:hAnsi="宋体" w:cs="宋体"/>
          <w:b/>
          <w:bCs/>
        </w:rPr>
      </w:pPr>
      <w:bookmarkStart w:id="227" w:name="_Toc989116"/>
      <w:r>
        <w:rPr>
          <w:rFonts w:ascii="宋体" w:hAnsi="宋体" w:cs="宋体"/>
          <w:b/>
          <w:bCs/>
        </w:rPr>
        <w:lastRenderedPageBreak/>
        <w:t>42、租赁</w:t>
      </w:r>
      <w:bookmarkEnd w:id="227"/>
    </w:p>
    <w:p w:rsidR="00E22F4C" w:rsidRDefault="00381575">
      <w:pPr>
        <w:keepNext/>
        <w:keepLines/>
        <w:spacing w:before="300" w:after="300" w:line="280" w:lineRule="exact"/>
        <w:outlineLvl w:val="3"/>
        <w:rPr>
          <w:rFonts w:ascii="宋体" w:eastAsia="宋体" w:hAnsi="宋体" w:cs="宋体"/>
          <w:b/>
          <w:bCs/>
          <w:szCs w:val="21"/>
        </w:rPr>
      </w:pPr>
      <w:bookmarkStart w:id="228" w:name="_Toc989117"/>
      <w:r>
        <w:rPr>
          <w:rFonts w:ascii="宋体" w:eastAsia="宋体" w:hAnsi="宋体" w:cs="宋体"/>
          <w:b/>
          <w:bCs/>
          <w:szCs w:val="21"/>
        </w:rPr>
        <w:t>（1） 经营租赁的会计处理方法</w:t>
      </w:r>
      <w:bookmarkEnd w:id="228"/>
    </w:p>
    <w:p w:rsidR="00E22F4C" w:rsidRDefault="00E22F4C">
      <w:pPr>
        <w:divId w:val="862128627"/>
        <w:rPr>
          <w:sz w:val="18"/>
          <w:szCs w:val="18"/>
        </w:rPr>
      </w:pPr>
      <w:r>
        <w:rPr>
          <w:rFonts w:ascii="䅂䍄䕅⯋컌" w:eastAsia="䅂䍄䕅⯋컌" w:hint="eastAsia"/>
          <w:color w:val="000000"/>
          <w:sz w:val="18"/>
          <w:szCs w:val="18"/>
        </w:rPr>
        <w:t> </w:t>
      </w:r>
      <w:r>
        <w:rPr>
          <w:rFonts w:ascii="䅂䍄䕅⯋컌" w:eastAsia="䅂䍄䕅⯋컌" w:hint="eastAsia"/>
          <w:color w:val="000000"/>
          <w:sz w:val="18"/>
          <w:szCs w:val="18"/>
        </w:rPr>
        <w:t xml:space="preserve"> </w:t>
      </w:r>
      <w:r>
        <w:rPr>
          <w:rFonts w:ascii="䅂䍄䕅⯋컌" w:eastAsia="䅂䍄䕅⯋컌" w:hint="eastAsia"/>
          <w:color w:val="000000"/>
          <w:sz w:val="18"/>
          <w:szCs w:val="18"/>
        </w:rPr>
        <w:t> </w:t>
      </w:r>
      <w:r>
        <w:rPr>
          <w:rFonts w:ascii="䅂䍄䕅⯋컌" w:eastAsia="䅂䍄䕅⯋컌" w:hint="eastAsia"/>
          <w:color w:val="000000"/>
          <w:sz w:val="18"/>
          <w:szCs w:val="18"/>
        </w:rPr>
        <w:t xml:space="preserve"> </w:t>
      </w:r>
      <w:r>
        <w:rPr>
          <w:rFonts w:ascii="䅂䍄䕅⯋컌" w:eastAsia="䅂䍄䕅⯋컌" w:hint="eastAsia"/>
          <w:color w:val="000000"/>
          <w:sz w:val="18"/>
          <w:szCs w:val="18"/>
        </w:rPr>
        <w:t> </w:t>
      </w:r>
      <w:r>
        <w:rPr>
          <w:rFonts w:ascii="䅂䍄䕅⯋컌" w:eastAsia="䅂䍄䕅⯋컌" w:hint="eastAsia"/>
          <w:color w:val="000000"/>
        </w:rPr>
        <w:t> </w:t>
      </w:r>
      <w:r>
        <w:rPr>
          <w:rFonts w:ascii="䅂䍄䕅⯋컌" w:eastAsia="䅂䍄䕅⯋컌" w:hint="eastAsia"/>
          <w:color w:val="000000"/>
        </w:rPr>
        <w:t xml:space="preserve"> ① 公司租入资产所支付的租赁费，在不扣除免租期的整个租赁期内，按直线法进行分摊，计入当期费用。公司支付的与租赁交易相关的初始直接费用，计入当期费用。资产出租方承担了应由公司承担的与租赁相关的费用时，公司将该部分费用从租金总额中扣除，按扣除后的租金费用在租赁期内分摊，计入当期费用。 </w:t>
      </w:r>
    </w:p>
    <w:p w:rsidR="00E22F4C" w:rsidRDefault="00E22F4C">
      <w:pPr>
        <w:divId w:val="1103914264"/>
        <w:rPr>
          <w:sz w:val="18"/>
          <w:szCs w:val="18"/>
        </w:rPr>
      </w:pPr>
      <w:r>
        <w:rPr>
          <w:rFonts w:ascii="䅂䍄䕅⯋컌" w:eastAsia="䅂䍄䕅⯋컌" w:hint="eastAsia"/>
          <w:color w:val="000000"/>
        </w:rPr>
        <w:t> </w:t>
      </w:r>
      <w:r>
        <w:rPr>
          <w:rFonts w:ascii="䅂䍄䕅⯋컌" w:eastAsia="䅂䍄䕅⯋컌" w:hint="eastAsia"/>
          <w:color w:val="000000"/>
        </w:rPr>
        <w:t xml:space="preserve"> </w:t>
      </w:r>
      <w:r>
        <w:rPr>
          <w:rFonts w:ascii="䅂䍄䕅⯋컌" w:eastAsia="䅂䍄䕅⯋컌" w:hint="eastAsia"/>
          <w:color w:val="000000"/>
        </w:rPr>
        <w:t> </w:t>
      </w:r>
      <w:r>
        <w:rPr>
          <w:rFonts w:ascii="䅂䍄䕅⯋컌" w:eastAsia="䅂䍄䕅⯋컌" w:hint="eastAsia"/>
          <w:color w:val="000000"/>
        </w:rPr>
        <w:t xml:space="preserve"> </w:t>
      </w:r>
      <w:r>
        <w:rPr>
          <w:rFonts w:ascii="䅂䍄䕅⯋컌" w:eastAsia="䅂䍄䕅⯋컌" w:hint="eastAsia"/>
          <w:color w:val="000000"/>
        </w:rPr>
        <w:t> </w:t>
      </w:r>
      <w:r>
        <w:rPr>
          <w:rFonts w:ascii="䅂䍄䕅⯋컌" w:eastAsia="䅂䍄䕅⯋컌" w:hint="eastAsia"/>
          <w:color w:val="000000"/>
        </w:rPr>
        <w:t xml:space="preserve"> ② 公司出租资产所收取的租赁费，在不扣除免租期的整个租赁期内，按直线法进行分摊，确认为租赁收入。公司支付的与租赁交易相关的初始直接费用，计入当期费用；如金额较大的，则予以资本化，在整个租赁期间内按照与租赁收入确认相同的基础分期计入当期收益。公司承担了应由承租方承担的与租赁相关的费用时，公司将该部分费用从租金收入总额中扣除，按扣除后的租金费用在租赁期内分配。</w:t>
      </w:r>
    </w:p>
    <w:p w:rsidR="00E22F4C" w:rsidRDefault="00381575">
      <w:pPr>
        <w:keepNext/>
        <w:keepLines/>
        <w:spacing w:before="300" w:after="300" w:line="280" w:lineRule="exact"/>
        <w:outlineLvl w:val="3"/>
        <w:rPr>
          <w:rFonts w:ascii="宋体" w:eastAsia="宋体" w:hAnsi="宋体" w:cs="宋体"/>
          <w:b/>
          <w:bCs/>
          <w:szCs w:val="21"/>
        </w:rPr>
      </w:pPr>
      <w:bookmarkStart w:id="229" w:name="_Toc989118"/>
      <w:r>
        <w:rPr>
          <w:rFonts w:ascii="宋体" w:eastAsia="宋体" w:hAnsi="宋体" w:cs="宋体"/>
          <w:b/>
          <w:bCs/>
          <w:szCs w:val="21"/>
        </w:rPr>
        <w:t>（2） 融资租赁的会计处理方法</w:t>
      </w:r>
      <w:bookmarkEnd w:id="229"/>
    </w:p>
    <w:p w:rsidR="00E22F4C" w:rsidRDefault="00E22F4C">
      <w:pPr>
        <w:divId w:val="1422407426"/>
        <w:rPr>
          <w:sz w:val="18"/>
          <w:szCs w:val="18"/>
        </w:rPr>
      </w:pPr>
      <w:r>
        <w:rPr>
          <w:rFonts w:ascii="䅂䍄䕅⯋컌" w:eastAsia="䅂䍄䕅⯋컌" w:hint="eastAsia"/>
          <w:color w:val="000000"/>
        </w:rPr>
        <w:t> </w:t>
      </w:r>
      <w:r>
        <w:rPr>
          <w:rFonts w:ascii="䅂䍄䕅⯋컌" w:eastAsia="䅂䍄䕅⯋컌" w:hint="eastAsia"/>
          <w:color w:val="000000"/>
        </w:rPr>
        <w:t xml:space="preserve"> </w:t>
      </w:r>
      <w:r>
        <w:rPr>
          <w:rFonts w:ascii="䅂䍄䕅⯋컌" w:eastAsia="䅂䍄䕅⯋컌" w:hint="eastAsia"/>
          <w:color w:val="000000"/>
        </w:rPr>
        <w:t> </w:t>
      </w:r>
      <w:r>
        <w:rPr>
          <w:rFonts w:ascii="䅂䍄䕅⯋컌" w:eastAsia="䅂䍄䕅⯋컌" w:hint="eastAsia"/>
          <w:color w:val="000000"/>
        </w:rPr>
        <w:t xml:space="preserve"> </w:t>
      </w:r>
      <w:r>
        <w:rPr>
          <w:rFonts w:ascii="䅂䍄䕅⯋컌" w:eastAsia="䅂䍄䕅⯋컌" w:hint="eastAsia"/>
          <w:color w:val="000000"/>
        </w:rPr>
        <w:t> </w:t>
      </w:r>
      <w:r>
        <w:rPr>
          <w:rFonts w:ascii="䅂䍄䕅⯋컌" w:eastAsia="䅂䍄䕅⯋컌" w:hint="eastAsia"/>
          <w:color w:val="000000"/>
        </w:rPr>
        <w:t xml:space="preserve"> ① 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 </w:t>
      </w:r>
    </w:p>
    <w:p w:rsidR="00E22F4C" w:rsidRDefault="00E22F4C">
      <w:pPr>
        <w:divId w:val="1452045813"/>
        <w:rPr>
          <w:sz w:val="18"/>
          <w:szCs w:val="18"/>
        </w:rPr>
      </w:pPr>
      <w:r>
        <w:rPr>
          <w:rFonts w:ascii="䅂䍄䕅⯋컌" w:eastAsia="䅂䍄䕅⯋컌" w:hint="eastAsia"/>
          <w:color w:val="000000"/>
        </w:rPr>
        <w:t> </w:t>
      </w:r>
      <w:r>
        <w:rPr>
          <w:rFonts w:ascii="䅂䍄䕅⯋컌" w:eastAsia="䅂䍄䕅⯋컌" w:hint="eastAsia"/>
          <w:color w:val="000000"/>
        </w:rPr>
        <w:t xml:space="preserve"> </w:t>
      </w:r>
      <w:r>
        <w:rPr>
          <w:rFonts w:ascii="䅂䍄䕅⯋컌" w:eastAsia="䅂䍄䕅⯋컌" w:hint="eastAsia"/>
          <w:color w:val="000000"/>
        </w:rPr>
        <w:t> </w:t>
      </w:r>
      <w:r>
        <w:rPr>
          <w:rFonts w:ascii="䅂䍄䕅⯋컌" w:eastAsia="䅂䍄䕅⯋컌" w:hint="eastAsia"/>
          <w:color w:val="000000"/>
        </w:rPr>
        <w:t xml:space="preserve"> </w:t>
      </w:r>
      <w:r>
        <w:rPr>
          <w:rFonts w:ascii="䅂䍄䕅⯋컌" w:eastAsia="䅂䍄䕅⯋컌" w:hint="eastAsia"/>
          <w:color w:val="000000"/>
        </w:rPr>
        <w:t> </w:t>
      </w:r>
      <w:r>
        <w:rPr>
          <w:rFonts w:ascii="䅂䍄䕅⯋컌" w:eastAsia="䅂䍄䕅⯋컌" w:hint="eastAsia"/>
          <w:color w:val="000000"/>
        </w:rPr>
        <w:t xml:space="preserve"> ② 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p w:rsidR="00E22F4C" w:rsidRDefault="00381575">
      <w:pPr>
        <w:pStyle w:val="3"/>
        <w:spacing w:line="280" w:lineRule="exact"/>
        <w:jc w:val="left"/>
        <w:rPr>
          <w:rFonts w:ascii="宋体" w:hAnsi="宋体" w:cs="宋体"/>
          <w:b/>
          <w:bCs/>
        </w:rPr>
      </w:pPr>
      <w:bookmarkStart w:id="230" w:name="_Toc989119"/>
      <w:r>
        <w:rPr>
          <w:rFonts w:ascii="宋体" w:hAnsi="宋体" w:cs="宋体"/>
          <w:b/>
          <w:bCs/>
        </w:rPr>
        <w:t>43、其他重要的会计政策和会计估计</w:t>
      </w:r>
      <w:bookmarkEnd w:id="230"/>
    </w:p>
    <w:p w:rsidR="00E22F4C" w:rsidRDefault="00E22F4C">
      <w:pPr>
        <w:pStyle w:val="a4"/>
        <w:spacing w:before="60" w:beforeAutospacing="0" w:after="60" w:afterAutospacing="0" w:line="480" w:lineRule="auto"/>
        <w:ind w:firstLine="424"/>
        <w:jc w:val="both"/>
        <w:divId w:val="1571621017"/>
        <w:rPr>
          <w:rFonts w:ascii="Times New Roman" w:hAnsi="Times New Roman" w:cs="Times New Roman"/>
          <w:sz w:val="21"/>
          <w:szCs w:val="21"/>
        </w:rPr>
      </w:pPr>
      <w:r>
        <w:rPr>
          <w:rFonts w:cs="Times New Roman" w:hint="eastAsia"/>
          <w:sz w:val="21"/>
          <w:szCs w:val="21"/>
        </w:rPr>
        <w:t>终止经营是满足下列条件之一的已被本公司处置或被本公司划归为持有待售的、在经营和编制财务报表时能够单独区分的组成部分：</w:t>
      </w:r>
    </w:p>
    <w:p w:rsidR="00E22F4C" w:rsidRDefault="00E22F4C">
      <w:pPr>
        <w:pStyle w:val="a4"/>
        <w:spacing w:before="60" w:beforeAutospacing="0" w:after="60" w:afterAutospacing="0" w:line="480" w:lineRule="auto"/>
        <w:ind w:firstLine="424"/>
        <w:jc w:val="both"/>
        <w:divId w:val="157162101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）该组成部分代表一项独立的主要业务或一个主要经营地区；</w:t>
      </w:r>
    </w:p>
    <w:p w:rsidR="00E22F4C" w:rsidRDefault="00E22F4C">
      <w:pPr>
        <w:pStyle w:val="a4"/>
        <w:spacing w:before="60" w:beforeAutospacing="0" w:after="60" w:afterAutospacing="0" w:line="480" w:lineRule="auto"/>
        <w:ind w:firstLine="424"/>
        <w:jc w:val="both"/>
        <w:divId w:val="157162101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）该组成部分是拟对一项独立的主要业务或一个主要经营地区进行处置计划的一部分；</w:t>
      </w:r>
    </w:p>
    <w:p w:rsidR="00E22F4C" w:rsidRDefault="00E22F4C">
      <w:pPr>
        <w:pStyle w:val="a4"/>
        <w:spacing w:before="60" w:beforeAutospacing="0" w:after="60" w:afterAutospacing="0" w:line="480" w:lineRule="auto"/>
        <w:ind w:firstLine="424"/>
        <w:jc w:val="both"/>
        <w:divId w:val="1571621017"/>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）该组成部分是仅仅为了再出售而取得的子公司。</w:t>
      </w:r>
    </w:p>
    <w:p w:rsidR="00E22F4C" w:rsidRDefault="00381575">
      <w:pPr>
        <w:pStyle w:val="3"/>
        <w:spacing w:line="280" w:lineRule="exact"/>
        <w:jc w:val="left"/>
        <w:rPr>
          <w:rFonts w:ascii="宋体" w:hAnsi="宋体" w:cs="宋体"/>
          <w:b/>
          <w:bCs/>
        </w:rPr>
      </w:pPr>
      <w:bookmarkStart w:id="231" w:name="_Toc989120"/>
      <w:r>
        <w:rPr>
          <w:rFonts w:ascii="宋体" w:hAnsi="宋体" w:cs="宋体"/>
          <w:b/>
          <w:bCs/>
        </w:rPr>
        <w:t>44、重要会计政策和会计估计变更</w:t>
      </w:r>
      <w:bookmarkEnd w:id="231"/>
    </w:p>
    <w:p w:rsidR="00E22F4C" w:rsidRDefault="00381575">
      <w:pPr>
        <w:keepNext/>
        <w:keepLines/>
        <w:spacing w:before="300" w:after="300" w:line="280" w:lineRule="exact"/>
        <w:outlineLvl w:val="3"/>
        <w:rPr>
          <w:rFonts w:ascii="宋体" w:eastAsia="宋体" w:hAnsi="宋体" w:cs="宋体"/>
          <w:b/>
          <w:bCs/>
          <w:sz w:val="18"/>
          <w:szCs w:val="18"/>
        </w:rPr>
      </w:pPr>
      <w:bookmarkStart w:id="232" w:name="_Toc989121"/>
      <w:r>
        <w:rPr>
          <w:rFonts w:ascii="宋体" w:eastAsia="宋体" w:hAnsi="宋体" w:cs="宋体"/>
          <w:b/>
          <w:bCs/>
          <w:sz w:val="18"/>
          <w:szCs w:val="18"/>
        </w:rPr>
        <w:t>（1） 重要会计政策变更</w:t>
      </w:r>
      <w:bookmarkEnd w:id="23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会计政策变更的内容和原因</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审批程序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财政部于2021年12月30日发布《企业会计准则解释第15号》(财会[2021]35号，以下简称“解释15</w:t>
            </w:r>
            <w:r>
              <w:rPr>
                <w:rFonts w:ascii="宋体" w:eastAsia="宋体" w:hAnsi="宋体" w:cs="宋体"/>
                <w:sz w:val="18"/>
                <w:szCs w:val="18"/>
              </w:rPr>
              <w:lastRenderedPageBreak/>
              <w:t>号”)，本公司自2022年1月1日起执行其中“关于企业将固定资产达到预定可使用状态前或者研发过程中产出的产品或副产品对外销售的会计处理”及“关于亏损合同的判断”的规定。</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不适用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1）关于企业将固定资产达到预定可使用状态前或者研发过程中产出的产品或副产品对外销售(以下统称试运行销</w:t>
            </w:r>
            <w:r>
              <w:rPr>
                <w:rFonts w:ascii="宋体" w:eastAsia="宋体" w:hAnsi="宋体" w:cs="宋体"/>
                <w:sz w:val="18"/>
                <w:szCs w:val="18"/>
              </w:rPr>
              <w:lastRenderedPageBreak/>
              <w:t>售)的会计处理，解释15号规定应当按照《企业会计准则第14号——收入》、《企业会计准则第1号——存货》等规定，对试运行销售相关的收入和成本分别进行会计处理，计入当期损益，不应将试运行销售相关收入抵销相关成本后的净额冲减固定资产成本或者研发支出。试运行产出的有关产品或副产品在对外销售前，符合《企业会计准则第1号——存货》规定的应当确认为存货，符合其他相关企业会计准则中有关资产确认条件的应当确认为相关资产。此项会计政策变更本期未对本公司产生影响。（2）关于亏损合同的判断，解释15号规定“履行合同义务不可避免会发生的成本”为履行该合同的成本与未能履行该合同而发生的补偿或处罚两者之间的较低者。企业履行该合同的成本包括履行合同的增量成本和与履行合同直接相关的其他成本的分摊金额。其中，履行合同的增量成本包括直接人工、直接材料等；与履行合同直接相关的其他成本的分摊金额包括用于履行合同的固定资产的折旧费用分摊金额等。此项会计政策变更本期未对本公司产生影响。</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财政部于2022年11月30日发布《企业会计准则解释第16号》(财会[2022]31号，以下简称“解释16号”)，本公司自2022年11月30日起执行其中“关于发行方分类为权益工具的金融工具相关股利的所得税影响的会计处理”及“关于企业将以现金结算的股份支付修改为以权益结算的股份支付的会计处理”的规定。</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关于发行方分类为权益工具的金融工具相关股利的所得税影响的会计处理，解释16号规定对于企业按照《企业会计准则第37号——金融工具列报》等规定分类为权益工具的金融工具，相关股利支出按照税收政策相关规定在企业所得税税前扣除的，企业应当在确认应付股利时，确认与股利相关的所得税影响。企业应当按照与过去产生可供分配利润的交易或事项时所采用的会计处理相一致的方式，将股利的所得税影响计入当期损益或所有者权益项目(含其他综合收益项目)。此项会计政策变更本期未对本公司产生影响。(2)关于企业将以现金结算的股份支付修改为以权益结算的股份支付的会计处理，解释16号规定企业修改以现金结算的股份支付协议中的条款和条件，使其成为以权益结算的股份支付的，在修改日，企业应当按照所授予权益工具当日的公允价值计量以权益结算的股份支付，将已取得的服务计入资本公积，同时终止确认以现金结算的股份支付在修改日已确认的负债，两者之间的差额计入当期损益。此项会计政策变更本期未对本公司产生影响。</w:t>
            </w:r>
          </w:p>
        </w:tc>
      </w:tr>
    </w:tbl>
    <w:p w:rsidR="00E22F4C" w:rsidRDefault="00E22F4C">
      <w:pPr>
        <w:spacing w:before="100" w:after="100" w:line="0" w:lineRule="atLeast"/>
      </w:pPr>
    </w:p>
    <w:p w:rsidR="00E22F4C" w:rsidRDefault="00E22F4C">
      <w:pPr>
        <w:divId w:val="397174852"/>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233" w:name="_Toc989122"/>
      <w:r>
        <w:rPr>
          <w:rFonts w:ascii="宋体" w:eastAsia="宋体" w:hAnsi="宋体" w:cs="宋体"/>
          <w:b/>
          <w:bCs/>
          <w:sz w:val="18"/>
          <w:szCs w:val="18"/>
        </w:rPr>
        <w:lastRenderedPageBreak/>
        <w:t>（2） 重要会计估计变更</w:t>
      </w:r>
      <w:bookmarkEnd w:id="23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234" w:name="_Toc989123"/>
      <w:r>
        <w:rPr>
          <w:rFonts w:ascii="宋体" w:hAnsi="宋体" w:cs="宋体"/>
          <w:b/>
          <w:bCs/>
        </w:rPr>
        <w:t>45、其他</w:t>
      </w:r>
      <w:bookmarkEnd w:id="234"/>
    </w:p>
    <w:p w:rsidR="00E22F4C" w:rsidRDefault="00E22F4C">
      <w:pPr>
        <w:divId w:val="1073314711"/>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235" w:name="_Toc989124"/>
      <w:r>
        <w:rPr>
          <w:rFonts w:ascii="宋体" w:eastAsia="宋体" w:hAnsi="宋体" w:cs="宋体"/>
          <w:b/>
          <w:bCs/>
          <w:sz w:val="24"/>
          <w:szCs w:val="24"/>
        </w:rPr>
        <w:t>六、税项</w:t>
      </w:r>
      <w:bookmarkEnd w:id="235"/>
    </w:p>
    <w:p w:rsidR="00E22F4C" w:rsidRDefault="00381575">
      <w:pPr>
        <w:pStyle w:val="3"/>
        <w:spacing w:line="280" w:lineRule="exact"/>
        <w:jc w:val="left"/>
        <w:rPr>
          <w:rFonts w:ascii="宋体" w:hAnsi="宋体" w:cs="宋体"/>
          <w:b/>
          <w:bCs/>
        </w:rPr>
      </w:pPr>
      <w:bookmarkStart w:id="236" w:name="_Toc989125"/>
      <w:r>
        <w:rPr>
          <w:rFonts w:ascii="宋体" w:hAnsi="宋体" w:cs="宋体"/>
          <w:b/>
          <w:bCs/>
        </w:rPr>
        <w:t>1、主要税种及税率</w:t>
      </w:r>
      <w:bookmarkEnd w:id="236"/>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税种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计税依据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税率</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销售收入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3%、13%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免抵税额和应交流转税额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7%、5%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应纳税所得额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15%、25%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免抵税额和应交流转税额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免抵税额和应交流转税额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存在不同企业所得税税率纳税主体的，披露情况说明</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纳税主体名称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所得税税率</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广东翔鹭钨业股份有限公司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广东翔鹭精密制造有限公司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东莞市翔鹭精密工具有限公司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大余隆鑫泰金属材料有限公司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大余隆鑫泰矿业有限公司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大余县新城海德材料有限公司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江西翔鹭精密制造有限公司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25%</w:t>
            </w:r>
          </w:p>
        </w:tc>
      </w:tr>
    </w:tbl>
    <w:p w:rsidR="00E22F4C" w:rsidRDefault="00381575">
      <w:pPr>
        <w:pStyle w:val="3"/>
        <w:spacing w:line="280" w:lineRule="exact"/>
        <w:jc w:val="left"/>
        <w:rPr>
          <w:rFonts w:ascii="宋体" w:hAnsi="宋体" w:cs="宋体"/>
          <w:b/>
          <w:bCs/>
        </w:rPr>
      </w:pPr>
      <w:bookmarkStart w:id="237" w:name="_Toc989126"/>
      <w:r>
        <w:rPr>
          <w:rFonts w:ascii="宋体" w:hAnsi="宋体" w:cs="宋体"/>
          <w:b/>
          <w:bCs/>
        </w:rPr>
        <w:t>2、税收优惠</w:t>
      </w:r>
      <w:bookmarkEnd w:id="237"/>
    </w:p>
    <w:p w:rsidR="00E22F4C" w:rsidRDefault="00E22F4C">
      <w:pPr>
        <w:pStyle w:val="a4"/>
        <w:spacing w:before="60" w:beforeAutospacing="0" w:after="60" w:afterAutospacing="0" w:line="460" w:lineRule="atLeast"/>
        <w:ind w:firstLine="424"/>
        <w:jc w:val="both"/>
        <w:divId w:val="1981957288"/>
        <w:rPr>
          <w:rFonts w:ascii="Times New Roman" w:hAnsi="Times New Roman" w:cs="Times New Roman"/>
          <w:sz w:val="21"/>
          <w:szCs w:val="21"/>
        </w:rPr>
      </w:pPr>
      <w:r>
        <w:rPr>
          <w:rFonts w:cs="Times New Roman" w:hint="eastAsia"/>
          <w:sz w:val="21"/>
          <w:szCs w:val="21"/>
        </w:rPr>
        <w:t>企业所得税：</w:t>
      </w:r>
    </w:p>
    <w:p w:rsidR="00E22F4C" w:rsidRDefault="00E22F4C">
      <w:pPr>
        <w:pStyle w:val="a4"/>
        <w:spacing w:before="60" w:beforeAutospacing="0" w:after="60" w:afterAutospacing="0" w:line="460" w:lineRule="atLeast"/>
        <w:ind w:firstLine="424"/>
        <w:jc w:val="both"/>
        <w:divId w:val="198195728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）根据广东省科学技术厅、广东省财政厅、国家税务总局广东省税务局于</w:t>
      </w: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4</w:t>
      </w:r>
      <w:r>
        <w:rPr>
          <w:rFonts w:cs="Times New Roman" w:hint="eastAsia"/>
          <w:sz w:val="21"/>
          <w:szCs w:val="21"/>
        </w:rPr>
        <w:t>月</w:t>
      </w:r>
      <w:r>
        <w:rPr>
          <w:rFonts w:ascii="Times New Roman" w:hAnsi="Times New Roman" w:cs="Times New Roman"/>
          <w:sz w:val="21"/>
          <w:szCs w:val="21"/>
        </w:rPr>
        <w:t>8</w:t>
      </w:r>
      <w:r>
        <w:rPr>
          <w:rFonts w:cs="Times New Roman" w:hint="eastAsia"/>
          <w:sz w:val="21"/>
          <w:szCs w:val="21"/>
        </w:rPr>
        <w:t>日下发的《关于公布广东省</w:t>
      </w:r>
      <w:r>
        <w:rPr>
          <w:rFonts w:ascii="Times New Roman" w:hAnsi="Times New Roman" w:cs="Times New Roman"/>
          <w:sz w:val="21"/>
          <w:szCs w:val="21"/>
        </w:rPr>
        <w:t>2020</w:t>
      </w:r>
      <w:r>
        <w:rPr>
          <w:rFonts w:cs="Times New Roman" w:hint="eastAsia"/>
          <w:sz w:val="21"/>
          <w:szCs w:val="21"/>
        </w:rPr>
        <w:t>年高新技术企业名单的通知》（粤科函高字〔</w:t>
      </w:r>
      <w:r>
        <w:rPr>
          <w:rFonts w:ascii="Times New Roman" w:hAnsi="Times New Roman" w:cs="Times New Roman"/>
          <w:sz w:val="21"/>
          <w:szCs w:val="21"/>
        </w:rPr>
        <w:t>2021</w:t>
      </w:r>
      <w:r>
        <w:rPr>
          <w:rFonts w:cs="Times New Roman" w:hint="eastAsia"/>
          <w:sz w:val="21"/>
          <w:szCs w:val="21"/>
        </w:rPr>
        <w:t>〕</w:t>
      </w:r>
      <w:r>
        <w:rPr>
          <w:rFonts w:ascii="Times New Roman" w:hAnsi="Times New Roman" w:cs="Times New Roman"/>
          <w:sz w:val="21"/>
          <w:szCs w:val="21"/>
        </w:rPr>
        <w:t>317</w:t>
      </w:r>
      <w:r>
        <w:rPr>
          <w:rFonts w:cs="Times New Roman" w:hint="eastAsia"/>
          <w:sz w:val="21"/>
          <w:szCs w:val="21"/>
        </w:rPr>
        <w:t>号），公司被认定为广东省</w:t>
      </w:r>
      <w:r>
        <w:rPr>
          <w:rFonts w:ascii="Times New Roman" w:hAnsi="Times New Roman" w:cs="Times New Roman"/>
          <w:sz w:val="21"/>
          <w:szCs w:val="21"/>
        </w:rPr>
        <w:t>2020</w:t>
      </w:r>
      <w:r>
        <w:rPr>
          <w:rFonts w:cs="Times New Roman" w:hint="eastAsia"/>
          <w:sz w:val="21"/>
          <w:szCs w:val="21"/>
        </w:rPr>
        <w:t>年高新技术企业，并获发《高新技术企业证书》（证书编号：</w:t>
      </w:r>
      <w:r>
        <w:rPr>
          <w:rFonts w:ascii="Times New Roman" w:hAnsi="Times New Roman" w:cs="Times New Roman"/>
          <w:sz w:val="21"/>
          <w:szCs w:val="21"/>
        </w:rPr>
        <w:t>GR202044004426</w:t>
      </w:r>
      <w:r>
        <w:rPr>
          <w:rFonts w:cs="Times New Roman" w:hint="eastAsia"/>
          <w:sz w:val="21"/>
          <w:szCs w:val="21"/>
        </w:rPr>
        <w:t>），享受高新技术企业所得税优惠政策期限为</w:t>
      </w:r>
      <w:r>
        <w:rPr>
          <w:rFonts w:ascii="Times New Roman" w:hAnsi="Times New Roman" w:cs="Times New Roman"/>
          <w:sz w:val="21"/>
          <w:szCs w:val="21"/>
        </w:rPr>
        <w:t>2020</w:t>
      </w:r>
      <w:r>
        <w:rPr>
          <w:rFonts w:cs="Times New Roman" w:hint="eastAsia"/>
          <w:sz w:val="21"/>
          <w:szCs w:val="21"/>
        </w:rPr>
        <w:t>年</w:t>
      </w:r>
      <w:r>
        <w:rPr>
          <w:rFonts w:ascii="Times New Roman" w:hAnsi="Times New Roman" w:cs="Times New Roman"/>
          <w:sz w:val="21"/>
          <w:szCs w:val="21"/>
        </w:rPr>
        <w:t>1</w:t>
      </w:r>
      <w:r>
        <w:rPr>
          <w:rFonts w:cs="Times New Roman" w:hint="eastAsia"/>
          <w:sz w:val="21"/>
          <w:szCs w:val="21"/>
        </w:rPr>
        <w:t>月</w:t>
      </w:r>
      <w:r>
        <w:rPr>
          <w:rFonts w:ascii="Times New Roman" w:hAnsi="Times New Roman" w:cs="Times New Roman"/>
          <w:sz w:val="21"/>
          <w:szCs w:val="21"/>
        </w:rPr>
        <w:t>1</w:t>
      </w:r>
      <w:r>
        <w:rPr>
          <w:rFonts w:cs="Times New Roman" w:hint="eastAsia"/>
          <w:sz w:val="21"/>
          <w:szCs w:val="21"/>
        </w:rPr>
        <w:t>日至</w:t>
      </w: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r>
        <w:rPr>
          <w:rFonts w:ascii="Times New Roman" w:hAnsi="Times New Roman" w:cs="Times New Roman"/>
          <w:sz w:val="21"/>
          <w:szCs w:val="21"/>
        </w:rPr>
        <w:t>31</w:t>
      </w:r>
      <w:r>
        <w:rPr>
          <w:rFonts w:cs="Times New Roman" w:hint="eastAsia"/>
          <w:sz w:val="21"/>
          <w:szCs w:val="21"/>
        </w:rPr>
        <w:t>日。公司</w:t>
      </w:r>
      <w:r>
        <w:rPr>
          <w:rFonts w:ascii="Times New Roman" w:hAnsi="Times New Roman" w:cs="Times New Roman"/>
          <w:sz w:val="21"/>
          <w:szCs w:val="21"/>
        </w:rPr>
        <w:t>2022</w:t>
      </w:r>
      <w:r>
        <w:rPr>
          <w:rFonts w:cs="Times New Roman" w:hint="eastAsia"/>
          <w:sz w:val="21"/>
          <w:szCs w:val="21"/>
        </w:rPr>
        <w:t>年度适用高新技术企业所得税</w:t>
      </w:r>
      <w:r>
        <w:rPr>
          <w:rFonts w:ascii="Times New Roman" w:hAnsi="Times New Roman" w:cs="Times New Roman"/>
          <w:sz w:val="21"/>
          <w:szCs w:val="21"/>
        </w:rPr>
        <w:t>15%</w:t>
      </w:r>
      <w:r>
        <w:rPr>
          <w:rFonts w:cs="Times New Roman" w:hint="eastAsia"/>
          <w:sz w:val="21"/>
          <w:szCs w:val="21"/>
        </w:rPr>
        <w:t>优惠税率。</w:t>
      </w:r>
    </w:p>
    <w:p w:rsidR="00E22F4C" w:rsidRDefault="00E22F4C">
      <w:pPr>
        <w:pStyle w:val="a4"/>
        <w:spacing w:before="60" w:beforeAutospacing="0" w:after="60" w:afterAutospacing="0" w:line="460" w:lineRule="atLeast"/>
        <w:ind w:firstLine="424"/>
        <w:jc w:val="both"/>
        <w:divId w:val="1981957288"/>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）根据江西省科学技术厅、江西省财政厅、国家税务总局江西省税务局于</w:t>
      </w: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r>
        <w:rPr>
          <w:rFonts w:ascii="Times New Roman" w:hAnsi="Times New Roman" w:cs="Times New Roman"/>
          <w:sz w:val="21"/>
          <w:szCs w:val="21"/>
        </w:rPr>
        <w:t>13</w:t>
      </w:r>
      <w:r>
        <w:rPr>
          <w:rFonts w:cs="Times New Roman" w:hint="eastAsia"/>
          <w:sz w:val="21"/>
          <w:szCs w:val="21"/>
        </w:rPr>
        <w:t>日下发的《关于公布江西省</w:t>
      </w:r>
      <w:r>
        <w:rPr>
          <w:rFonts w:ascii="Times New Roman" w:hAnsi="Times New Roman" w:cs="Times New Roman"/>
          <w:sz w:val="21"/>
          <w:szCs w:val="21"/>
        </w:rPr>
        <w:t>2022</w:t>
      </w:r>
      <w:r>
        <w:rPr>
          <w:rFonts w:cs="Times New Roman" w:hint="eastAsia"/>
          <w:sz w:val="21"/>
          <w:szCs w:val="21"/>
        </w:rPr>
        <w:t>年第一批高新技术企业名单的通知》（赣高企认办〔</w:t>
      </w:r>
      <w:r>
        <w:rPr>
          <w:rFonts w:ascii="Times New Roman" w:hAnsi="Times New Roman" w:cs="Times New Roman"/>
          <w:sz w:val="21"/>
          <w:szCs w:val="21"/>
        </w:rPr>
        <w:t>2022</w:t>
      </w:r>
      <w:r>
        <w:rPr>
          <w:rFonts w:cs="Times New Roman" w:hint="eastAsia"/>
          <w:sz w:val="21"/>
          <w:szCs w:val="21"/>
        </w:rPr>
        <w:t>〕</w:t>
      </w:r>
      <w:r>
        <w:rPr>
          <w:rFonts w:ascii="Times New Roman" w:hAnsi="Times New Roman" w:cs="Times New Roman"/>
          <w:sz w:val="21"/>
          <w:szCs w:val="21"/>
        </w:rPr>
        <w:t>15</w:t>
      </w:r>
      <w:r>
        <w:rPr>
          <w:rFonts w:cs="Times New Roman" w:hint="eastAsia"/>
          <w:sz w:val="21"/>
          <w:szCs w:val="21"/>
        </w:rPr>
        <w:t>号），子公司江西翔鹭钨业有限公司被认定为广东省</w:t>
      </w:r>
      <w:r>
        <w:rPr>
          <w:rFonts w:ascii="Times New Roman" w:hAnsi="Times New Roman" w:cs="Times New Roman"/>
          <w:sz w:val="21"/>
          <w:szCs w:val="21"/>
        </w:rPr>
        <w:t>2022</w:t>
      </w:r>
      <w:r>
        <w:rPr>
          <w:rFonts w:cs="Times New Roman" w:hint="eastAsia"/>
          <w:sz w:val="21"/>
          <w:szCs w:val="21"/>
        </w:rPr>
        <w:t>年高新技术企业，并获发《高新技术企业证书》（证书</w:t>
      </w:r>
      <w:r>
        <w:rPr>
          <w:rFonts w:cs="Times New Roman" w:hint="eastAsia"/>
          <w:sz w:val="21"/>
          <w:szCs w:val="21"/>
        </w:rPr>
        <w:lastRenderedPageBreak/>
        <w:t>编号：</w:t>
      </w:r>
      <w:r>
        <w:rPr>
          <w:rFonts w:ascii="Times New Roman" w:hAnsi="Times New Roman" w:cs="Times New Roman"/>
          <w:sz w:val="21"/>
          <w:szCs w:val="21"/>
        </w:rPr>
        <w:t>GR202236000038</w:t>
      </w:r>
      <w:r>
        <w:rPr>
          <w:rFonts w:cs="Times New Roman" w:hint="eastAsia"/>
          <w:sz w:val="21"/>
          <w:szCs w:val="21"/>
        </w:rPr>
        <w:t>），享受高新技术企业所得税优惠政策期限为</w:t>
      </w: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11</w:t>
      </w:r>
      <w:r>
        <w:rPr>
          <w:rFonts w:cs="Times New Roman" w:hint="eastAsia"/>
          <w:sz w:val="21"/>
          <w:szCs w:val="21"/>
        </w:rPr>
        <w:t>月</w:t>
      </w:r>
      <w:r>
        <w:rPr>
          <w:rFonts w:ascii="Times New Roman" w:hAnsi="Times New Roman" w:cs="Times New Roman"/>
          <w:sz w:val="21"/>
          <w:szCs w:val="21"/>
        </w:rPr>
        <w:t>4</w:t>
      </w:r>
      <w:r>
        <w:rPr>
          <w:rFonts w:cs="Times New Roman" w:hint="eastAsia"/>
          <w:sz w:val="21"/>
          <w:szCs w:val="21"/>
        </w:rPr>
        <w:t>日至</w:t>
      </w:r>
      <w:r>
        <w:rPr>
          <w:rFonts w:ascii="Times New Roman" w:hAnsi="Times New Roman" w:cs="Times New Roman"/>
          <w:sz w:val="21"/>
          <w:szCs w:val="21"/>
        </w:rPr>
        <w:t>2025</w:t>
      </w:r>
      <w:r>
        <w:rPr>
          <w:rFonts w:cs="Times New Roman" w:hint="eastAsia"/>
          <w:sz w:val="21"/>
          <w:szCs w:val="21"/>
        </w:rPr>
        <w:t>年</w:t>
      </w:r>
      <w:r>
        <w:rPr>
          <w:rFonts w:ascii="Times New Roman" w:hAnsi="Times New Roman" w:cs="Times New Roman"/>
          <w:sz w:val="21"/>
          <w:szCs w:val="21"/>
        </w:rPr>
        <w:t>11</w:t>
      </w:r>
      <w:r>
        <w:rPr>
          <w:rFonts w:cs="Times New Roman" w:hint="eastAsia"/>
          <w:sz w:val="21"/>
          <w:szCs w:val="21"/>
        </w:rPr>
        <w:t>月</w:t>
      </w:r>
      <w:r>
        <w:rPr>
          <w:rFonts w:ascii="Times New Roman" w:hAnsi="Times New Roman" w:cs="Times New Roman"/>
          <w:sz w:val="21"/>
          <w:szCs w:val="21"/>
        </w:rPr>
        <w:t>3</w:t>
      </w:r>
      <w:r>
        <w:rPr>
          <w:rFonts w:cs="Times New Roman" w:hint="eastAsia"/>
          <w:sz w:val="21"/>
          <w:szCs w:val="21"/>
        </w:rPr>
        <w:t>日。子公司江西翔鹭钨业有限公司</w:t>
      </w:r>
      <w:r>
        <w:rPr>
          <w:rFonts w:ascii="Times New Roman" w:hAnsi="Times New Roman" w:cs="Times New Roman"/>
          <w:sz w:val="21"/>
          <w:szCs w:val="21"/>
        </w:rPr>
        <w:t>2022</w:t>
      </w:r>
      <w:r>
        <w:rPr>
          <w:rFonts w:cs="Times New Roman" w:hint="eastAsia"/>
          <w:sz w:val="21"/>
          <w:szCs w:val="21"/>
        </w:rPr>
        <w:t>年度适用高新技术企业所得税</w:t>
      </w:r>
      <w:r>
        <w:rPr>
          <w:rFonts w:ascii="Times New Roman" w:hAnsi="Times New Roman" w:cs="Times New Roman"/>
          <w:sz w:val="21"/>
          <w:szCs w:val="21"/>
        </w:rPr>
        <w:t>15%</w:t>
      </w:r>
      <w:r>
        <w:rPr>
          <w:rFonts w:cs="Times New Roman" w:hint="eastAsia"/>
          <w:sz w:val="21"/>
          <w:szCs w:val="21"/>
        </w:rPr>
        <w:t>优惠税率。</w:t>
      </w:r>
    </w:p>
    <w:p w:rsidR="00E22F4C" w:rsidRDefault="00E22F4C">
      <w:pPr>
        <w:pStyle w:val="a4"/>
        <w:spacing w:before="60" w:beforeAutospacing="0" w:after="60" w:afterAutospacing="0" w:line="460" w:lineRule="atLeast"/>
        <w:ind w:firstLine="424"/>
        <w:jc w:val="both"/>
        <w:divId w:val="1981957288"/>
        <w:rPr>
          <w:rFonts w:ascii="Times New Roman" w:hAnsi="Times New Roman" w:cs="Times New Roman"/>
          <w:sz w:val="21"/>
          <w:szCs w:val="21"/>
        </w:rPr>
      </w:pPr>
      <w:r>
        <w:rPr>
          <w:rFonts w:cs="Times New Roman" w:hint="eastAsia"/>
          <w:sz w:val="21"/>
          <w:szCs w:val="21"/>
        </w:rPr>
        <w:t>增值税：根据财政部、国家税务总局</w:t>
      </w:r>
      <w:r>
        <w:rPr>
          <w:rFonts w:ascii="Times New Roman" w:hAnsi="Times New Roman" w:cs="Times New Roman"/>
          <w:sz w:val="21"/>
          <w:szCs w:val="21"/>
        </w:rPr>
        <w:t>2012</w:t>
      </w:r>
      <w:r>
        <w:rPr>
          <w:rFonts w:cs="Times New Roman" w:hint="eastAsia"/>
          <w:sz w:val="21"/>
          <w:szCs w:val="21"/>
        </w:rPr>
        <w:t>年</w:t>
      </w:r>
      <w:r>
        <w:rPr>
          <w:rFonts w:ascii="Times New Roman" w:hAnsi="Times New Roman" w:cs="Times New Roman"/>
          <w:sz w:val="21"/>
          <w:szCs w:val="21"/>
        </w:rPr>
        <w:t>5</w:t>
      </w:r>
      <w:r>
        <w:rPr>
          <w:rFonts w:cs="Times New Roman" w:hint="eastAsia"/>
          <w:sz w:val="21"/>
          <w:szCs w:val="21"/>
        </w:rPr>
        <w:t>月</w:t>
      </w:r>
      <w:r>
        <w:rPr>
          <w:rFonts w:ascii="Times New Roman" w:hAnsi="Times New Roman" w:cs="Times New Roman"/>
          <w:sz w:val="21"/>
          <w:szCs w:val="21"/>
        </w:rPr>
        <w:t>25</w:t>
      </w:r>
      <w:r>
        <w:rPr>
          <w:rFonts w:cs="Times New Roman" w:hint="eastAsia"/>
          <w:sz w:val="21"/>
          <w:szCs w:val="21"/>
        </w:rPr>
        <w:t>日发布的《财政部、国家税务总局关于出口货物劳务增值税和消费税政策的通知》（财税</w:t>
      </w:r>
      <w:r>
        <w:rPr>
          <w:rFonts w:ascii="Times New Roman" w:hAnsi="Times New Roman" w:cs="Times New Roman"/>
          <w:sz w:val="21"/>
          <w:szCs w:val="21"/>
        </w:rPr>
        <w:t>[2012]39</w:t>
      </w:r>
      <w:r>
        <w:rPr>
          <w:rFonts w:cs="Times New Roman" w:hint="eastAsia"/>
          <w:sz w:val="21"/>
          <w:szCs w:val="21"/>
        </w:rPr>
        <w:t>号），公司出口产品享受增值税“免、抵、退”优惠政策。</w:t>
      </w:r>
    </w:p>
    <w:p w:rsidR="00E22F4C" w:rsidRDefault="00381575">
      <w:pPr>
        <w:pStyle w:val="3"/>
        <w:spacing w:line="280" w:lineRule="exact"/>
        <w:jc w:val="left"/>
        <w:rPr>
          <w:rFonts w:ascii="宋体" w:hAnsi="宋体" w:cs="宋体"/>
          <w:b/>
          <w:bCs/>
        </w:rPr>
      </w:pPr>
      <w:bookmarkStart w:id="238" w:name="_Toc989127"/>
      <w:r>
        <w:rPr>
          <w:rFonts w:ascii="宋体" w:hAnsi="宋体" w:cs="宋体"/>
          <w:b/>
          <w:bCs/>
        </w:rPr>
        <w:t>3、其他</w:t>
      </w:r>
      <w:bookmarkEnd w:id="238"/>
    </w:p>
    <w:p w:rsidR="00E22F4C" w:rsidRDefault="00E22F4C">
      <w:pPr>
        <w:divId w:val="798575666"/>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239" w:name="_Toc989128"/>
      <w:r>
        <w:rPr>
          <w:rFonts w:ascii="宋体" w:eastAsia="宋体" w:hAnsi="宋体" w:cs="宋体"/>
          <w:b/>
          <w:bCs/>
          <w:sz w:val="24"/>
          <w:szCs w:val="24"/>
        </w:rPr>
        <w:t>七、合并财务报表项目注释</w:t>
      </w:r>
      <w:bookmarkEnd w:id="239"/>
    </w:p>
    <w:p w:rsidR="00E22F4C" w:rsidRDefault="00381575">
      <w:pPr>
        <w:pStyle w:val="3"/>
        <w:spacing w:line="280" w:lineRule="exact"/>
        <w:jc w:val="left"/>
        <w:rPr>
          <w:rFonts w:ascii="宋体" w:hAnsi="宋体" w:cs="宋体"/>
          <w:b/>
          <w:bCs/>
        </w:rPr>
      </w:pPr>
      <w:bookmarkStart w:id="240" w:name="_Toc989129"/>
      <w:r>
        <w:rPr>
          <w:rFonts w:ascii="宋体" w:hAnsi="宋体" w:cs="宋体"/>
          <w:b/>
          <w:bCs/>
        </w:rPr>
        <w:t>1、货币资金</w:t>
      </w:r>
      <w:bookmarkEnd w:id="24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61,120.53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97,103.28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银行存款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64,166,246.96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134,226,832.83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86,652,826.62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109,388,765.46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150,880,194.11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243,712,701.57</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pStyle w:val="a4"/>
        <w:spacing w:before="60" w:beforeAutospacing="0" w:after="60" w:afterAutospacing="0" w:line="460" w:lineRule="atLeast"/>
        <w:ind w:firstLine="424"/>
        <w:jc w:val="both"/>
        <w:divId w:val="1490754882"/>
        <w:rPr>
          <w:rFonts w:ascii="Times New Roman" w:hAnsi="Times New Roman" w:cs="Times New Roman"/>
          <w:sz w:val="21"/>
          <w:szCs w:val="21"/>
        </w:rPr>
      </w:pPr>
      <w:r>
        <w:rPr>
          <w:rFonts w:cs="Times New Roman" w:hint="eastAsia"/>
          <w:sz w:val="21"/>
          <w:szCs w:val="21"/>
        </w:rPr>
        <w:t>其他货币资金期末余额为银行承兑汇票保证金以及信用证保证金。</w:t>
      </w:r>
    </w:p>
    <w:p w:rsidR="00E22F4C" w:rsidRDefault="00381575">
      <w:pPr>
        <w:pStyle w:val="3"/>
        <w:spacing w:line="280" w:lineRule="exact"/>
        <w:jc w:val="left"/>
        <w:rPr>
          <w:rFonts w:ascii="宋体" w:hAnsi="宋体" w:cs="宋体"/>
          <w:b/>
          <w:bCs/>
        </w:rPr>
      </w:pPr>
      <w:bookmarkStart w:id="241" w:name="_Toc989130"/>
      <w:r>
        <w:rPr>
          <w:rFonts w:ascii="宋体" w:hAnsi="宋体" w:cs="宋体"/>
          <w:b/>
          <w:bCs/>
        </w:rPr>
        <w:t>2、交易性金融资产</w:t>
      </w:r>
      <w:bookmarkEnd w:id="24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以公允价值计量且其变动计入当期损益的金融资产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远期结售汇合约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159883697"/>
        <w:rPr>
          <w:sz w:val="18"/>
          <w:szCs w:val="18"/>
        </w:rPr>
      </w:pPr>
    </w:p>
    <w:p w:rsidR="00E22F4C" w:rsidRDefault="00381575">
      <w:pPr>
        <w:pStyle w:val="3"/>
        <w:spacing w:line="280" w:lineRule="exact"/>
        <w:jc w:val="left"/>
        <w:rPr>
          <w:rFonts w:ascii="宋体" w:hAnsi="宋体" w:cs="宋体"/>
          <w:b/>
          <w:bCs/>
        </w:rPr>
      </w:pPr>
      <w:bookmarkStart w:id="242" w:name="_Toc989131"/>
      <w:r>
        <w:rPr>
          <w:rFonts w:ascii="宋体" w:hAnsi="宋体" w:cs="宋体"/>
          <w:b/>
          <w:bCs/>
        </w:rPr>
        <w:t>3、衍生金融资产</w:t>
      </w:r>
      <w:bookmarkEnd w:id="24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400369004"/>
        <w:rPr>
          <w:sz w:val="18"/>
          <w:szCs w:val="18"/>
        </w:rPr>
      </w:pPr>
    </w:p>
    <w:p w:rsidR="00E22F4C" w:rsidRDefault="00381575">
      <w:pPr>
        <w:pStyle w:val="3"/>
        <w:spacing w:line="280" w:lineRule="exact"/>
        <w:jc w:val="left"/>
        <w:rPr>
          <w:rFonts w:ascii="宋体" w:hAnsi="宋体" w:cs="宋体"/>
          <w:b/>
          <w:bCs/>
        </w:rPr>
      </w:pPr>
      <w:bookmarkStart w:id="243" w:name="_Toc989132"/>
      <w:r>
        <w:rPr>
          <w:rFonts w:ascii="宋体" w:hAnsi="宋体" w:cs="宋体"/>
          <w:b/>
          <w:bCs/>
        </w:rPr>
        <w:t>4、应收票据</w:t>
      </w:r>
      <w:bookmarkEnd w:id="243"/>
    </w:p>
    <w:p w:rsidR="00E22F4C" w:rsidRDefault="00381575">
      <w:pPr>
        <w:keepNext/>
        <w:keepLines/>
        <w:spacing w:before="300" w:after="300" w:line="280" w:lineRule="exact"/>
        <w:outlineLvl w:val="3"/>
        <w:rPr>
          <w:rFonts w:ascii="宋体" w:eastAsia="宋体" w:hAnsi="宋体" w:cs="宋体"/>
          <w:b/>
          <w:bCs/>
          <w:szCs w:val="21"/>
        </w:rPr>
      </w:pPr>
      <w:bookmarkStart w:id="244" w:name="_Toc989133"/>
      <w:r>
        <w:rPr>
          <w:rFonts w:ascii="宋体" w:eastAsia="宋体" w:hAnsi="宋体" w:cs="宋体"/>
          <w:b/>
          <w:bCs/>
          <w:szCs w:val="21"/>
        </w:rPr>
        <w:t>（1） 应收票据分类列示</w:t>
      </w:r>
      <w:bookmarkEnd w:id="24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876"/>
        <w:gridCol w:w="877"/>
        <w:gridCol w:w="876"/>
        <w:gridCol w:w="877"/>
        <w:gridCol w:w="876"/>
        <w:gridCol w:w="876"/>
        <w:gridCol w:w="877"/>
        <w:gridCol w:w="876"/>
        <w:gridCol w:w="877"/>
        <w:gridCol w:w="876"/>
      </w:tblGrid>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如是按照预期信用损失一般模型计提应收票据坏账准备，请参照其他应收款的披露方式披露坏账准备的相关信息：</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Cs w:val="21"/>
        </w:rPr>
      </w:pPr>
      <w:bookmarkStart w:id="245" w:name="_Toc989134"/>
      <w:r>
        <w:rPr>
          <w:rFonts w:ascii="宋体" w:eastAsia="宋体" w:hAnsi="宋体" w:cs="宋体"/>
          <w:b/>
          <w:bCs/>
          <w:szCs w:val="21"/>
        </w:rPr>
        <w:t>（2） 本期计提、收回或转回的坏账准备情况</w:t>
      </w:r>
      <w:bookmarkEnd w:id="245"/>
    </w:p>
    <w:p w:rsidR="00E22F4C" w:rsidRDefault="00381575">
      <w:pPr>
        <w:spacing w:before="100" w:line="240" w:lineRule="exact"/>
        <w:rPr>
          <w:rFonts w:ascii="宋体" w:eastAsia="宋体" w:hAnsi="宋体" w:cs="宋体"/>
          <w:sz w:val="18"/>
          <w:szCs w:val="18"/>
        </w:rPr>
      </w:pPr>
      <w:r>
        <w:rPr>
          <w:rFonts w:ascii="宋体" w:eastAsia="宋体" w:hAnsi="宋体" w:cs="宋体"/>
          <w:sz w:val="18"/>
          <w:szCs w:val="18"/>
        </w:rPr>
        <w:t>本期计提坏账准备情况：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Cs w:val="21"/>
        </w:rPr>
      </w:pPr>
      <w:bookmarkStart w:id="246" w:name="_Toc989135"/>
      <w:r>
        <w:rPr>
          <w:rFonts w:ascii="宋体" w:eastAsia="宋体" w:hAnsi="宋体" w:cs="宋体"/>
          <w:b/>
          <w:bCs/>
          <w:szCs w:val="21"/>
        </w:rPr>
        <w:t>（3） 期末公司已质押的应收票据</w:t>
      </w:r>
      <w:bookmarkEnd w:id="24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期末已质押金额</w:t>
            </w:r>
          </w:p>
        </w:tc>
      </w:tr>
    </w:tbl>
    <w:p w:rsidR="00E22F4C" w:rsidRDefault="00381575">
      <w:pPr>
        <w:keepNext/>
        <w:keepLines/>
        <w:spacing w:before="300" w:after="300" w:line="280" w:lineRule="exact"/>
        <w:outlineLvl w:val="3"/>
        <w:rPr>
          <w:rFonts w:ascii="宋体" w:eastAsia="宋体" w:hAnsi="宋体" w:cs="宋体"/>
          <w:b/>
          <w:bCs/>
          <w:szCs w:val="21"/>
        </w:rPr>
      </w:pPr>
      <w:bookmarkStart w:id="247" w:name="_Toc989136"/>
      <w:r>
        <w:rPr>
          <w:rFonts w:ascii="宋体" w:eastAsia="宋体" w:hAnsi="宋体" w:cs="宋体"/>
          <w:b/>
          <w:bCs/>
          <w:szCs w:val="21"/>
        </w:rPr>
        <w:t>（4） 期末公司已背书或贴现且在资产负债表日尚未到期的应收票据</w:t>
      </w:r>
      <w:bookmarkEnd w:id="24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期末终止确认金额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期末未终止确认金额</w:t>
            </w:r>
          </w:p>
        </w:tc>
      </w:tr>
    </w:tbl>
    <w:p w:rsidR="00E22F4C" w:rsidRDefault="00381575">
      <w:pPr>
        <w:keepNext/>
        <w:keepLines/>
        <w:spacing w:before="300" w:after="300" w:line="280" w:lineRule="exact"/>
        <w:outlineLvl w:val="3"/>
        <w:rPr>
          <w:rFonts w:ascii="宋体" w:eastAsia="宋体" w:hAnsi="宋体" w:cs="宋体"/>
          <w:b/>
          <w:bCs/>
          <w:szCs w:val="21"/>
        </w:rPr>
      </w:pPr>
      <w:bookmarkStart w:id="248" w:name="_Toc989137"/>
      <w:r>
        <w:rPr>
          <w:rFonts w:ascii="宋体" w:eastAsia="宋体" w:hAnsi="宋体" w:cs="宋体"/>
          <w:b/>
          <w:bCs/>
          <w:szCs w:val="21"/>
        </w:rPr>
        <w:t>（5） 期末公司因出票人未履约而将其转应收账款的票据</w:t>
      </w:r>
      <w:bookmarkEnd w:id="24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期末转应收账款金额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597055641"/>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49" w:name="_Toc989138"/>
      <w:r>
        <w:rPr>
          <w:rFonts w:ascii="宋体" w:eastAsia="宋体" w:hAnsi="宋体" w:cs="宋体"/>
          <w:b/>
          <w:bCs/>
          <w:szCs w:val="21"/>
        </w:rPr>
        <w:lastRenderedPageBreak/>
        <w:t>（6） 本期实际核销的应收票据情况</w:t>
      </w:r>
      <w:bookmarkEnd w:id="24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其中重要的应收票据核销情况：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应收票据性质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应收票据核销说明：</w:t>
      </w:r>
    </w:p>
    <w:p w:rsidR="00E22F4C" w:rsidRDefault="00E22F4C">
      <w:pPr>
        <w:divId w:val="1348141353"/>
        <w:rPr>
          <w:sz w:val="18"/>
          <w:szCs w:val="18"/>
        </w:rPr>
      </w:pPr>
    </w:p>
    <w:p w:rsidR="00E22F4C" w:rsidRDefault="00381575">
      <w:pPr>
        <w:pStyle w:val="3"/>
        <w:spacing w:line="280" w:lineRule="exact"/>
        <w:jc w:val="left"/>
        <w:rPr>
          <w:rFonts w:ascii="宋体" w:hAnsi="宋体" w:cs="宋体"/>
          <w:b/>
          <w:bCs/>
        </w:rPr>
      </w:pPr>
      <w:bookmarkStart w:id="250" w:name="_Toc989139"/>
      <w:r>
        <w:rPr>
          <w:rFonts w:ascii="宋体" w:hAnsi="宋体" w:cs="宋体"/>
          <w:b/>
          <w:bCs/>
        </w:rPr>
        <w:t>5、应收账款</w:t>
      </w:r>
      <w:bookmarkEnd w:id="250"/>
    </w:p>
    <w:p w:rsidR="00E22F4C" w:rsidRDefault="00381575">
      <w:pPr>
        <w:keepNext/>
        <w:keepLines/>
        <w:spacing w:before="300" w:after="300" w:line="280" w:lineRule="exact"/>
        <w:outlineLvl w:val="3"/>
        <w:rPr>
          <w:rFonts w:ascii="宋体" w:eastAsia="宋体" w:hAnsi="宋体" w:cs="宋体"/>
          <w:b/>
          <w:bCs/>
          <w:szCs w:val="21"/>
        </w:rPr>
      </w:pPr>
      <w:bookmarkStart w:id="251" w:name="_Toc989140"/>
      <w:r>
        <w:rPr>
          <w:rFonts w:ascii="宋体" w:eastAsia="宋体" w:hAnsi="宋体" w:cs="宋体"/>
          <w:b/>
          <w:bCs/>
          <w:szCs w:val="21"/>
        </w:rPr>
        <w:t>（1） 应收账款分类披露</w:t>
      </w:r>
      <w:bookmarkEnd w:id="25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876"/>
        <w:gridCol w:w="877"/>
        <w:gridCol w:w="876"/>
        <w:gridCol w:w="877"/>
        <w:gridCol w:w="876"/>
        <w:gridCol w:w="876"/>
        <w:gridCol w:w="877"/>
        <w:gridCol w:w="876"/>
        <w:gridCol w:w="877"/>
        <w:gridCol w:w="876"/>
      </w:tblGrid>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按单项计提坏账准备的应收账款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7,873,947.44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7,873,947.44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7,873,947.44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7,873,947.44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269,799,397.19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97.16%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5,645,571.16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264,153,826.03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199,046,100.22</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96.19%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5,196,727.33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193,849,372.89</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组合1：应收直销客户</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235,728,120.33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84.89%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3,650,269.69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232,077,850.64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165,887,914.62</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80.17%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3,547,057.02</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162,340,857.60</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组合2：应收经销客户</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34,071,276.86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1,995,301.47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32,075,975.39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33,158,185.60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16.02%</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1,649,670.31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4.98%</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31,508,515.29</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组合3：应收合并范围内关联方客户</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277,673,344.63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13,519,518.60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264,153,826.03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206,920,047.66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13,070,674.77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193,849,372.89</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按单项计提坏账准备：7,873,947.44</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71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计提理由</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浙江晶鑫合金有限公司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2,727,162.21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2,727,162.21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款项无法收回</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株洲立华有色金属研究所</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1,134,100.00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1,134,100.00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款项无法收回</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株洲荣昌钨钼科技有限公司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1,131,393.16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1,131,393.16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客户已被吊销</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2,881,292.07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2,881,292.07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款项无法收回</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7,873,947.44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7,873,947.44</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按组合计提坏账准备：3,650,269.69</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234,790,838.42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3,067,701.61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1.31%</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1-2年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391,836.15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45,864.02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2-3年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945.95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46.14%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3-4年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543,395.76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535,758.11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98.59%</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4-5年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5年以上</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235,728,120.33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3,650,269.69</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rsidR="00E22F4C" w:rsidRDefault="00E22F4C">
      <w:pPr>
        <w:divId w:val="1146315503"/>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按组合计提坏账准备：1,995,301.47</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33,803,049.07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1,799,134.13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5.32%</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1-2年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164,039.40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91,978.95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2-3年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3-4年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54,188.39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54,188.39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4-5年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5年以上</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47,000.00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47,000.00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34,071,276.86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1,995,301.47</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rsidR="00E22F4C" w:rsidRDefault="00E22F4C">
      <w:pPr>
        <w:divId w:val="1533226707"/>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如是按照预期信用损失一般模型计提应收账款坏账准备，请参照其他应收款的披露方式披露坏账准备的相关信息：</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按账龄披露</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268,593,887.49</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555,875.55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2至3年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5,050.00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8,518,531.59</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3至4年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597,584.15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4至5年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122,968.28</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5年以上</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7,797,979.16</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277,673,344.63</w:t>
            </w:r>
          </w:p>
        </w:tc>
      </w:tr>
    </w:tbl>
    <w:p w:rsidR="00E22F4C" w:rsidRDefault="00381575">
      <w:pPr>
        <w:keepNext/>
        <w:keepLines/>
        <w:spacing w:before="300" w:after="300" w:line="280" w:lineRule="exact"/>
        <w:outlineLvl w:val="3"/>
        <w:rPr>
          <w:rFonts w:ascii="宋体" w:eastAsia="宋体" w:hAnsi="宋体" w:cs="宋体"/>
          <w:b/>
          <w:bCs/>
          <w:szCs w:val="21"/>
        </w:rPr>
      </w:pPr>
      <w:bookmarkStart w:id="252" w:name="_Toc989141"/>
      <w:r>
        <w:rPr>
          <w:rFonts w:ascii="宋体" w:eastAsia="宋体" w:hAnsi="宋体" w:cs="宋体"/>
          <w:b/>
          <w:bCs/>
          <w:szCs w:val="21"/>
        </w:rPr>
        <w:t>（2） 本期计提、收回或转回的坏账准备情况</w:t>
      </w:r>
      <w:bookmarkEnd w:id="25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本期计提坏账准备情况：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坏账准备</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13,070,674.77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744,055.97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295,212.14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13,519,518.60</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13,070,674.77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744,055.97</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295,212.14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13,519,518.60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rsidR="00E22F4C" w:rsidRDefault="00E22F4C">
      <w:pPr>
        <w:divId w:val="1561860423"/>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53" w:name="_Toc989142"/>
      <w:r>
        <w:rPr>
          <w:rFonts w:ascii="宋体" w:eastAsia="宋体" w:hAnsi="宋体" w:cs="宋体"/>
          <w:b/>
          <w:bCs/>
          <w:szCs w:val="21"/>
        </w:rPr>
        <w:t>（3） 本期实际核销的应收账款情况</w:t>
      </w:r>
      <w:bookmarkEnd w:id="25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客户款</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295,212.14</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其中重要的应收账款核销情况：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应收账款核销说明：</w:t>
      </w:r>
    </w:p>
    <w:p w:rsidR="00E22F4C" w:rsidRDefault="00E22F4C">
      <w:pPr>
        <w:divId w:val="855467103"/>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54" w:name="_Toc989143"/>
      <w:r>
        <w:rPr>
          <w:rFonts w:ascii="宋体" w:eastAsia="宋体" w:hAnsi="宋体" w:cs="宋体"/>
          <w:b/>
          <w:bCs/>
          <w:szCs w:val="21"/>
        </w:rPr>
        <w:t>（4） 按欠款方归集的期末余额前五名的应收账款情况</w:t>
      </w:r>
      <w:bookmarkEnd w:id="25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占应收账款期末余额合计数的比例</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23,874,800.00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326,075.95</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18,099,405.10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247,197.07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17,656,698.78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241,150.70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16,225,521.98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309,387.72</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15,196,757.20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207,553.44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91,053,183.06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32.79%</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keepNext/>
        <w:keepLines/>
        <w:spacing w:before="300" w:after="300" w:line="280" w:lineRule="exact"/>
        <w:outlineLvl w:val="3"/>
        <w:rPr>
          <w:rFonts w:ascii="宋体" w:eastAsia="宋体" w:hAnsi="宋体" w:cs="宋体"/>
          <w:b/>
          <w:bCs/>
          <w:szCs w:val="21"/>
        </w:rPr>
      </w:pPr>
      <w:bookmarkStart w:id="255" w:name="_Toc989144"/>
      <w:r>
        <w:rPr>
          <w:rFonts w:ascii="宋体" w:eastAsia="宋体" w:hAnsi="宋体" w:cs="宋体"/>
          <w:b/>
          <w:bCs/>
          <w:szCs w:val="21"/>
        </w:rPr>
        <w:lastRenderedPageBreak/>
        <w:t>（5） 转移应收账款且继续涉入形成的资产、负债金额</w:t>
      </w:r>
      <w:bookmarkEnd w:id="255"/>
    </w:p>
    <w:p w:rsidR="00E22F4C" w:rsidRDefault="00E22F4C">
      <w:pPr>
        <w:divId w:val="306009274"/>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88492702"/>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56" w:name="_Toc989145"/>
      <w:r>
        <w:rPr>
          <w:rFonts w:ascii="宋体" w:eastAsia="宋体" w:hAnsi="宋体" w:cs="宋体"/>
          <w:b/>
          <w:bCs/>
          <w:szCs w:val="21"/>
        </w:rPr>
        <w:t>（6） 因金融资产转移而终止确认的应收账款</w:t>
      </w:r>
      <w:bookmarkEnd w:id="256"/>
    </w:p>
    <w:p w:rsidR="00E22F4C" w:rsidRDefault="00E22F4C">
      <w:pPr>
        <w:divId w:val="1161239134"/>
        <w:rPr>
          <w:sz w:val="18"/>
          <w:szCs w:val="18"/>
        </w:rPr>
      </w:pPr>
    </w:p>
    <w:p w:rsidR="00E22F4C" w:rsidRDefault="00381575">
      <w:pPr>
        <w:pStyle w:val="3"/>
        <w:spacing w:line="280" w:lineRule="exact"/>
        <w:jc w:val="left"/>
        <w:rPr>
          <w:rFonts w:ascii="宋体" w:hAnsi="宋体" w:cs="宋体"/>
          <w:b/>
          <w:bCs/>
        </w:rPr>
      </w:pPr>
      <w:bookmarkStart w:id="257" w:name="_Toc989146"/>
      <w:r>
        <w:rPr>
          <w:rFonts w:ascii="宋体" w:hAnsi="宋体" w:cs="宋体"/>
          <w:b/>
          <w:bCs/>
        </w:rPr>
        <w:t>6、应收款项融资</w:t>
      </w:r>
      <w:bookmarkEnd w:id="25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应收票据：其中：银行承兑汇票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122,921,358.54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123,947,738.42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122,921,358.54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123,947,738.42</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应收款项融资本期增减变动及公允价值变动情况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如是按照预期信用损失一般模型计提应收款项融资减值准备，请参照其他应收款的披露方式披露减值准备的相关信息：</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spacing w:before="0" w:beforeAutospacing="0" w:after="60" w:afterAutospacing="0" w:line="500" w:lineRule="atLeast"/>
        <w:ind w:firstLine="424"/>
        <w:jc w:val="both"/>
        <w:divId w:val="386733226"/>
        <w:rPr>
          <w:rFonts w:ascii="Times New Roman" w:hAnsi="Times New Roman" w:cs="Times New Roman"/>
          <w:sz w:val="21"/>
          <w:szCs w:val="21"/>
        </w:rPr>
      </w:pPr>
      <w:r>
        <w:rPr>
          <w:rFonts w:cs="Times New Roman" w:hint="eastAsia"/>
          <w:sz w:val="21"/>
          <w:szCs w:val="21"/>
        </w:rPr>
        <w:t>截至期末，应收款项融资中的应收票据均为银行承兑汇票，公司按照整个存续期预期信用损失计量银行承兑汇票坏账准备。 公司认为所持有的银行承兑汇票不存在重大的信用风险，不会因银行或其他出票人违约而产生重大损失。</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145777451"/>
        <w:rPr>
          <w:sz w:val="18"/>
          <w:szCs w:val="18"/>
        </w:rPr>
      </w:pPr>
    </w:p>
    <w:p w:rsidR="00E22F4C" w:rsidRDefault="00381575">
      <w:pPr>
        <w:pStyle w:val="3"/>
        <w:spacing w:line="280" w:lineRule="exact"/>
        <w:jc w:val="left"/>
        <w:rPr>
          <w:rFonts w:ascii="宋体" w:hAnsi="宋体" w:cs="宋体"/>
          <w:b/>
          <w:bCs/>
        </w:rPr>
      </w:pPr>
      <w:bookmarkStart w:id="258" w:name="_Toc989147"/>
      <w:r>
        <w:rPr>
          <w:rFonts w:ascii="宋体" w:hAnsi="宋体" w:cs="宋体"/>
          <w:b/>
          <w:bCs/>
        </w:rPr>
        <w:t>7、预付款项</w:t>
      </w:r>
      <w:bookmarkEnd w:id="258"/>
    </w:p>
    <w:p w:rsidR="00E22F4C" w:rsidRDefault="00381575">
      <w:pPr>
        <w:keepNext/>
        <w:keepLines/>
        <w:spacing w:before="300" w:after="300" w:line="280" w:lineRule="exact"/>
        <w:outlineLvl w:val="3"/>
        <w:rPr>
          <w:rFonts w:ascii="宋体" w:eastAsia="宋体" w:hAnsi="宋体" w:cs="宋体"/>
          <w:b/>
          <w:bCs/>
          <w:szCs w:val="21"/>
        </w:rPr>
      </w:pPr>
      <w:bookmarkStart w:id="259" w:name="_Toc989148"/>
      <w:r>
        <w:rPr>
          <w:rFonts w:ascii="宋体" w:eastAsia="宋体" w:hAnsi="宋体" w:cs="宋体"/>
          <w:b/>
          <w:bCs/>
          <w:szCs w:val="21"/>
        </w:rPr>
        <w:t>（1） 预付款项按账龄列示</w:t>
      </w:r>
      <w:bookmarkEnd w:id="25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1年以内</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1,221,662.36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94.89%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15,678,119.48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98.94%</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18,193.56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72,500.00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0.46%</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2至3年</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95,097.00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0.60%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47,597.00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1,287,452.92</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15,845,716.48</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账龄超过1年且金额重要的预付款项未及时结算原因的说明：</w:t>
      </w:r>
    </w:p>
    <w:p w:rsidR="00E22F4C" w:rsidRDefault="00E22F4C">
      <w:pPr>
        <w:divId w:val="516769148"/>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60" w:name="_Toc989149"/>
      <w:r>
        <w:rPr>
          <w:rFonts w:ascii="宋体" w:eastAsia="宋体" w:hAnsi="宋体" w:cs="宋体"/>
          <w:b/>
          <w:bCs/>
          <w:szCs w:val="21"/>
        </w:rPr>
        <w:lastRenderedPageBreak/>
        <w:t>（2） 按预付对象归集的期末余额前五名的预付款情况</w:t>
      </w:r>
      <w:bookmarkEnd w:id="260"/>
    </w:p>
    <w:p w:rsidR="00E22F4C" w:rsidRDefault="00E22F4C">
      <w:pPr>
        <w:pStyle w:val="15"/>
        <w:spacing w:before="120" w:beforeAutospacing="0" w:after="120" w:afterAutospacing="0" w:line="460" w:lineRule="atLeast"/>
        <w:ind w:right="-202" w:firstLine="420"/>
        <w:divId w:val="1174999577"/>
        <w:rPr>
          <w:sz w:val="18"/>
          <w:szCs w:val="18"/>
        </w:rPr>
      </w:pPr>
      <w:r>
        <w:rPr>
          <w:rFonts w:cs="Times New Roman" w:hint="eastAsia"/>
          <w:sz w:val="21"/>
          <w:szCs w:val="21"/>
        </w:rPr>
        <w:t>本公司按预付对象归集的</w:t>
      </w: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r>
        <w:rPr>
          <w:rFonts w:ascii="Times New Roman" w:hAnsi="Times New Roman" w:cs="Times New Roman"/>
          <w:sz w:val="21"/>
          <w:szCs w:val="21"/>
        </w:rPr>
        <w:t>31</w:t>
      </w:r>
      <w:r>
        <w:rPr>
          <w:rFonts w:cs="Times New Roman" w:hint="eastAsia"/>
          <w:sz w:val="21"/>
          <w:szCs w:val="21"/>
        </w:rPr>
        <w:t>日余额前五名预付账款汇总金额为</w:t>
      </w:r>
      <w:r>
        <w:rPr>
          <w:rFonts w:ascii="Times New Roman" w:hAnsi="Times New Roman" w:cs="Times New Roman"/>
          <w:sz w:val="21"/>
          <w:szCs w:val="21"/>
        </w:rPr>
        <w:t>647,521.43</w:t>
      </w:r>
      <w:r>
        <w:rPr>
          <w:rFonts w:cs="Times New Roman" w:hint="eastAsia"/>
          <w:sz w:val="21"/>
          <w:szCs w:val="21"/>
        </w:rPr>
        <w:t>元，占预付账款期末余额合计数的比例为</w:t>
      </w:r>
      <w:r>
        <w:rPr>
          <w:rFonts w:ascii="Times New Roman" w:hAnsi="Times New Roman" w:cs="Times New Roman"/>
          <w:sz w:val="21"/>
          <w:szCs w:val="21"/>
        </w:rPr>
        <w:t>50.29%</w:t>
      </w:r>
      <w:r>
        <w:rPr>
          <w:rFonts w:cs="Times New Roman" w:hint="eastAsia"/>
          <w:sz w:val="21"/>
          <w:szCs w:val="21"/>
        </w:rPr>
        <w:t>。</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8889907"/>
        <w:rPr>
          <w:sz w:val="18"/>
          <w:szCs w:val="18"/>
        </w:rPr>
      </w:pPr>
    </w:p>
    <w:p w:rsidR="00E22F4C" w:rsidRDefault="00381575">
      <w:pPr>
        <w:pStyle w:val="3"/>
        <w:spacing w:line="280" w:lineRule="exact"/>
        <w:jc w:val="left"/>
        <w:rPr>
          <w:rFonts w:ascii="宋体" w:hAnsi="宋体" w:cs="宋体"/>
          <w:b/>
          <w:bCs/>
        </w:rPr>
      </w:pPr>
      <w:bookmarkStart w:id="261" w:name="_Toc989150"/>
      <w:r>
        <w:rPr>
          <w:rFonts w:ascii="宋体" w:hAnsi="宋体" w:cs="宋体"/>
          <w:b/>
          <w:bCs/>
        </w:rPr>
        <w:t>8、其他应收款</w:t>
      </w:r>
      <w:bookmarkEnd w:id="26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8,768,812.56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8,006,143.46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8,768,812.56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8,006,143.46</w:t>
            </w:r>
          </w:p>
        </w:tc>
      </w:tr>
    </w:tbl>
    <w:p w:rsidR="00E22F4C" w:rsidRDefault="00381575">
      <w:pPr>
        <w:keepNext/>
        <w:keepLines/>
        <w:spacing w:before="300" w:after="300" w:line="280" w:lineRule="exact"/>
        <w:outlineLvl w:val="3"/>
        <w:rPr>
          <w:rFonts w:ascii="宋体" w:eastAsia="宋体" w:hAnsi="宋体" w:cs="宋体"/>
          <w:b/>
          <w:bCs/>
          <w:szCs w:val="21"/>
        </w:rPr>
      </w:pPr>
      <w:bookmarkStart w:id="262" w:name="_Toc989151"/>
      <w:r>
        <w:rPr>
          <w:rFonts w:ascii="宋体" w:eastAsia="宋体" w:hAnsi="宋体" w:cs="宋体"/>
          <w:b/>
          <w:bCs/>
          <w:szCs w:val="21"/>
        </w:rPr>
        <w:t>（1） 应收利息</w:t>
      </w:r>
      <w:bookmarkEnd w:id="262"/>
    </w:p>
    <w:p w:rsidR="00E22F4C" w:rsidRDefault="00381575">
      <w:pPr>
        <w:keepNext/>
        <w:keepLines/>
        <w:spacing w:before="300" w:after="300" w:line="280" w:lineRule="exact"/>
        <w:outlineLvl w:val="4"/>
        <w:rPr>
          <w:rFonts w:ascii="宋体" w:eastAsia="宋体" w:hAnsi="宋体" w:cs="宋体"/>
          <w:b/>
          <w:bCs/>
          <w:szCs w:val="21"/>
        </w:rPr>
      </w:pPr>
      <w:bookmarkStart w:id="263" w:name="_Toc989152"/>
      <w:r>
        <w:rPr>
          <w:rFonts w:ascii="宋体" w:eastAsia="宋体" w:hAnsi="宋体" w:cs="宋体"/>
          <w:b/>
          <w:bCs/>
          <w:szCs w:val="21"/>
        </w:rPr>
        <w:t>1） 应收利息分类</w:t>
      </w:r>
      <w:bookmarkEnd w:id="26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keepNext/>
        <w:keepLines/>
        <w:spacing w:before="300" w:after="300" w:line="280" w:lineRule="exact"/>
        <w:outlineLvl w:val="4"/>
        <w:rPr>
          <w:rFonts w:ascii="宋体" w:eastAsia="宋体" w:hAnsi="宋体" w:cs="宋体"/>
          <w:b/>
          <w:bCs/>
          <w:szCs w:val="21"/>
        </w:rPr>
      </w:pPr>
      <w:bookmarkStart w:id="264" w:name="_Toc989153"/>
      <w:r>
        <w:rPr>
          <w:rFonts w:ascii="宋体" w:eastAsia="宋体" w:hAnsi="宋体" w:cs="宋体"/>
          <w:b/>
          <w:bCs/>
          <w:szCs w:val="21"/>
        </w:rPr>
        <w:t>2） 重要逾期利息</w:t>
      </w:r>
      <w:bookmarkEnd w:id="26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借款单位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逾期时间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是否发生减值及其判断依据</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639531002"/>
        <w:rPr>
          <w:sz w:val="18"/>
          <w:szCs w:val="18"/>
        </w:rPr>
      </w:pPr>
    </w:p>
    <w:p w:rsidR="00E22F4C" w:rsidRDefault="00381575">
      <w:pPr>
        <w:keepNext/>
        <w:keepLines/>
        <w:spacing w:before="300" w:after="300" w:line="280" w:lineRule="exact"/>
        <w:outlineLvl w:val="4"/>
        <w:rPr>
          <w:rFonts w:ascii="宋体" w:eastAsia="宋体" w:hAnsi="宋体" w:cs="宋体"/>
          <w:b/>
          <w:bCs/>
          <w:szCs w:val="21"/>
        </w:rPr>
      </w:pPr>
      <w:bookmarkStart w:id="265" w:name="_Toc989154"/>
      <w:r>
        <w:rPr>
          <w:rFonts w:ascii="宋体" w:eastAsia="宋体" w:hAnsi="宋体" w:cs="宋体"/>
          <w:b/>
          <w:bCs/>
          <w:szCs w:val="21"/>
        </w:rPr>
        <w:t>3） 坏账准备计提情况</w:t>
      </w:r>
      <w:bookmarkEnd w:id="265"/>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Cs w:val="21"/>
        </w:rPr>
      </w:pPr>
      <w:bookmarkStart w:id="266" w:name="_Toc989155"/>
      <w:r>
        <w:rPr>
          <w:rFonts w:ascii="宋体" w:eastAsia="宋体" w:hAnsi="宋体" w:cs="宋体"/>
          <w:b/>
          <w:bCs/>
          <w:szCs w:val="21"/>
        </w:rPr>
        <w:t>（2） 应收股利</w:t>
      </w:r>
      <w:bookmarkEnd w:id="266"/>
    </w:p>
    <w:p w:rsidR="00E22F4C" w:rsidRDefault="00381575">
      <w:pPr>
        <w:keepNext/>
        <w:keepLines/>
        <w:spacing w:before="300" w:after="300" w:line="280" w:lineRule="exact"/>
        <w:outlineLvl w:val="4"/>
        <w:rPr>
          <w:rFonts w:ascii="宋体" w:eastAsia="宋体" w:hAnsi="宋体" w:cs="宋体"/>
          <w:b/>
          <w:bCs/>
          <w:szCs w:val="21"/>
        </w:rPr>
      </w:pPr>
      <w:bookmarkStart w:id="267" w:name="_Toc989156"/>
      <w:r>
        <w:rPr>
          <w:rFonts w:ascii="宋体" w:eastAsia="宋体" w:hAnsi="宋体" w:cs="宋体"/>
          <w:b/>
          <w:bCs/>
          <w:szCs w:val="21"/>
        </w:rPr>
        <w:t>1） 应收股利分类</w:t>
      </w:r>
      <w:bookmarkEnd w:id="26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项目(或被投资单位)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keepNext/>
        <w:keepLines/>
        <w:spacing w:before="300" w:after="300" w:line="280" w:lineRule="exact"/>
        <w:outlineLvl w:val="4"/>
        <w:rPr>
          <w:rFonts w:ascii="宋体" w:eastAsia="宋体" w:hAnsi="宋体" w:cs="宋体"/>
          <w:b/>
          <w:bCs/>
          <w:szCs w:val="21"/>
        </w:rPr>
      </w:pPr>
      <w:bookmarkStart w:id="268" w:name="_Toc989157"/>
      <w:r>
        <w:rPr>
          <w:rFonts w:ascii="宋体" w:eastAsia="宋体" w:hAnsi="宋体" w:cs="宋体"/>
          <w:b/>
          <w:bCs/>
          <w:szCs w:val="21"/>
        </w:rPr>
        <w:t>2） 重要的账龄超过1年的应收股利</w:t>
      </w:r>
      <w:bookmarkEnd w:id="26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项目(或被投资单位)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未收回的原因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是否发生减值及其判断依据</w:t>
            </w:r>
          </w:p>
        </w:tc>
      </w:tr>
    </w:tbl>
    <w:p w:rsidR="00E22F4C" w:rsidRDefault="00381575">
      <w:pPr>
        <w:keepNext/>
        <w:keepLines/>
        <w:spacing w:before="300" w:after="300" w:line="280" w:lineRule="exact"/>
        <w:outlineLvl w:val="4"/>
        <w:rPr>
          <w:rFonts w:ascii="宋体" w:eastAsia="宋体" w:hAnsi="宋体" w:cs="宋体"/>
          <w:b/>
          <w:bCs/>
          <w:szCs w:val="21"/>
        </w:rPr>
      </w:pPr>
      <w:bookmarkStart w:id="269" w:name="_Toc989158"/>
      <w:r>
        <w:rPr>
          <w:rFonts w:ascii="宋体" w:eastAsia="宋体" w:hAnsi="宋体" w:cs="宋体"/>
          <w:b/>
          <w:bCs/>
          <w:szCs w:val="21"/>
        </w:rPr>
        <w:lastRenderedPageBreak/>
        <w:t>3） 坏账准备计提情况</w:t>
      </w:r>
      <w:bookmarkEnd w:id="26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834831923"/>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70" w:name="_Toc989159"/>
      <w:r>
        <w:rPr>
          <w:rFonts w:ascii="宋体" w:eastAsia="宋体" w:hAnsi="宋体" w:cs="宋体"/>
          <w:b/>
          <w:bCs/>
          <w:szCs w:val="21"/>
        </w:rPr>
        <w:t>（3） 其他应收款</w:t>
      </w:r>
      <w:bookmarkEnd w:id="270"/>
    </w:p>
    <w:p w:rsidR="00E22F4C" w:rsidRDefault="00381575">
      <w:pPr>
        <w:keepNext/>
        <w:keepLines/>
        <w:spacing w:before="300" w:after="300" w:line="280" w:lineRule="exact"/>
        <w:outlineLvl w:val="4"/>
        <w:rPr>
          <w:rFonts w:ascii="宋体" w:eastAsia="宋体" w:hAnsi="宋体" w:cs="宋体"/>
          <w:b/>
          <w:bCs/>
          <w:szCs w:val="21"/>
        </w:rPr>
      </w:pPr>
      <w:bookmarkStart w:id="271" w:name="_Toc989160"/>
      <w:r>
        <w:rPr>
          <w:rFonts w:ascii="宋体" w:eastAsia="宋体" w:hAnsi="宋体" w:cs="宋体"/>
          <w:b/>
          <w:bCs/>
          <w:szCs w:val="21"/>
        </w:rPr>
        <w:t>1） 其他应收款按款项性质分类情况</w:t>
      </w:r>
      <w:bookmarkEnd w:id="27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期初账面余额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政府补助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7,851,453.88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5,764,117.77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1,468,482.75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3,901,969.91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员工借款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510,345.16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489,559.08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社保公积金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441,933.76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456,504.35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261,900.00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69,900.00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69,124.38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147,420.38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10,603,239.93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10,829,471.49</w:t>
            </w:r>
          </w:p>
        </w:tc>
      </w:tr>
    </w:tbl>
    <w:p w:rsidR="00E22F4C" w:rsidRDefault="00381575">
      <w:pPr>
        <w:keepNext/>
        <w:keepLines/>
        <w:spacing w:before="300" w:after="300" w:line="280" w:lineRule="exact"/>
        <w:outlineLvl w:val="4"/>
        <w:rPr>
          <w:rFonts w:ascii="宋体" w:eastAsia="宋体" w:hAnsi="宋体" w:cs="宋体"/>
          <w:b/>
          <w:bCs/>
          <w:szCs w:val="21"/>
        </w:rPr>
      </w:pPr>
      <w:bookmarkStart w:id="272" w:name="_Toc989161"/>
      <w:r>
        <w:rPr>
          <w:rFonts w:ascii="宋体" w:eastAsia="宋体" w:hAnsi="宋体" w:cs="宋体"/>
          <w:b/>
          <w:bCs/>
          <w:szCs w:val="21"/>
        </w:rPr>
        <w:t>2） 坏账准备计提情况</w:t>
      </w:r>
      <w:bookmarkEnd w:id="27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2022年1月1日余额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2,823,328.03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2,823,328.03</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本期转回</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988,900.66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988,900.66</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2022年12月31日余额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1,834,427.37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1,834,427.37</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按账龄披露</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6,868,080.03</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2,122,477.77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2至3年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56,400.00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1,556,282.13</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3至4年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3,500.00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4至5年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1,435,182.75</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5年以上</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117,599.38</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10,603,239.93</w:t>
            </w:r>
          </w:p>
        </w:tc>
      </w:tr>
    </w:tbl>
    <w:p w:rsidR="00E22F4C" w:rsidRDefault="00381575">
      <w:pPr>
        <w:keepNext/>
        <w:keepLines/>
        <w:spacing w:before="300" w:after="300" w:line="280" w:lineRule="exact"/>
        <w:outlineLvl w:val="4"/>
        <w:rPr>
          <w:rFonts w:ascii="宋体" w:eastAsia="宋体" w:hAnsi="宋体" w:cs="宋体"/>
          <w:b/>
          <w:bCs/>
          <w:szCs w:val="21"/>
        </w:rPr>
      </w:pPr>
      <w:bookmarkStart w:id="273" w:name="_Toc989162"/>
      <w:r>
        <w:rPr>
          <w:rFonts w:ascii="宋体" w:eastAsia="宋体" w:hAnsi="宋体" w:cs="宋体"/>
          <w:b/>
          <w:bCs/>
          <w:szCs w:val="21"/>
        </w:rPr>
        <w:lastRenderedPageBreak/>
        <w:t>3） 本期计提、收回或转回的坏账准备情况</w:t>
      </w:r>
      <w:bookmarkEnd w:id="27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本期计提坏账准备情况：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坏账准备</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2,823,328.03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988,900.66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1,834,427.37</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2,823,328.03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988,900.66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1,834,427.37</w:t>
            </w:r>
          </w:p>
        </w:tc>
      </w:tr>
    </w:tbl>
    <w:p w:rsidR="00E22F4C" w:rsidRDefault="00E22F4C">
      <w:pPr>
        <w:divId w:val="1557861967"/>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其中本期坏账准备转回或收回金额重要的：</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转回或收回金额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rsidR="00E22F4C" w:rsidRDefault="00E22F4C">
      <w:pPr>
        <w:divId w:val="1626933857"/>
        <w:rPr>
          <w:sz w:val="18"/>
          <w:szCs w:val="18"/>
        </w:rPr>
      </w:pPr>
    </w:p>
    <w:p w:rsidR="00E22F4C" w:rsidRDefault="00381575">
      <w:pPr>
        <w:keepNext/>
        <w:keepLines/>
        <w:spacing w:before="300" w:after="300" w:line="280" w:lineRule="exact"/>
        <w:outlineLvl w:val="4"/>
        <w:rPr>
          <w:rFonts w:ascii="宋体" w:eastAsia="宋体" w:hAnsi="宋体" w:cs="宋体"/>
          <w:b/>
          <w:bCs/>
          <w:szCs w:val="21"/>
        </w:rPr>
      </w:pPr>
      <w:bookmarkStart w:id="274" w:name="_Toc989163"/>
      <w:r>
        <w:rPr>
          <w:rFonts w:ascii="宋体" w:eastAsia="宋体" w:hAnsi="宋体" w:cs="宋体"/>
          <w:b/>
          <w:bCs/>
          <w:szCs w:val="21"/>
        </w:rPr>
        <w:t>4） 本期实际核销的其他应收款情况</w:t>
      </w:r>
      <w:bookmarkEnd w:id="27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其中重要的其他应收款核销情况：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其他应收款性质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其他应收款核销说明：</w:t>
      </w:r>
    </w:p>
    <w:p w:rsidR="00E22F4C" w:rsidRDefault="00E22F4C">
      <w:pPr>
        <w:divId w:val="368989416"/>
        <w:rPr>
          <w:sz w:val="18"/>
          <w:szCs w:val="18"/>
        </w:rPr>
      </w:pPr>
    </w:p>
    <w:p w:rsidR="00E22F4C" w:rsidRDefault="00381575">
      <w:pPr>
        <w:keepNext/>
        <w:keepLines/>
        <w:spacing w:before="300" w:after="300" w:line="280" w:lineRule="exact"/>
        <w:outlineLvl w:val="4"/>
        <w:rPr>
          <w:rFonts w:ascii="宋体" w:eastAsia="宋体" w:hAnsi="宋体" w:cs="宋体"/>
          <w:b/>
          <w:bCs/>
          <w:szCs w:val="21"/>
        </w:rPr>
      </w:pPr>
      <w:bookmarkStart w:id="275" w:name="_Toc989164"/>
      <w:r>
        <w:rPr>
          <w:rFonts w:ascii="宋体" w:eastAsia="宋体" w:hAnsi="宋体" w:cs="宋体"/>
          <w:b/>
          <w:bCs/>
          <w:szCs w:val="21"/>
        </w:rPr>
        <w:t>5） 按欠款方归集的期末余额前五名的其他应收款情况</w:t>
      </w:r>
      <w:bookmarkEnd w:id="27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赣州市国资工业投资管理有限公司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6,024,753.88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1年以内、1-2年</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56.82%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392,888.58</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大余县工业和信息化局</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1,826,700.00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17.23%</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91,335.00</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大余县鑫盛钨品厂牛斋矿区</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往来款</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1,468,482.75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1年以内、1-2年、4-5年</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1,142,014.20</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员工借款</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员工借款</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510,345.16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1年以内、1-2年、2-3年</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46,377.26</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社保公积金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社保公积金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441,933.76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22,096.69</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10,272,215.55</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96.88%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1,694,711.73</w:t>
            </w:r>
          </w:p>
        </w:tc>
      </w:tr>
    </w:tbl>
    <w:p w:rsidR="00E22F4C" w:rsidRDefault="00381575">
      <w:pPr>
        <w:keepNext/>
        <w:keepLines/>
        <w:spacing w:before="300" w:after="300" w:line="280" w:lineRule="exact"/>
        <w:outlineLvl w:val="4"/>
        <w:rPr>
          <w:rFonts w:ascii="宋体" w:eastAsia="宋体" w:hAnsi="宋体" w:cs="宋体"/>
          <w:b/>
          <w:bCs/>
          <w:szCs w:val="21"/>
        </w:rPr>
      </w:pPr>
      <w:bookmarkStart w:id="276" w:name="_Toc989165"/>
      <w:r>
        <w:rPr>
          <w:rFonts w:ascii="宋体" w:eastAsia="宋体" w:hAnsi="宋体" w:cs="宋体"/>
          <w:b/>
          <w:bCs/>
          <w:szCs w:val="21"/>
        </w:rPr>
        <w:t>6） 涉及政府补助的应收款项</w:t>
      </w:r>
      <w:bookmarkEnd w:id="27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政府补助项目名称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预计收取的时间、金额及依据</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赣州市国资工业投资管理有限公司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贷款贴息</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6,024,753.88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1年以内、1-2年</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注1</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大余县工业和信息化局</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硬质合金补助</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1,826,700.00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注2</w:t>
            </w:r>
          </w:p>
        </w:tc>
      </w:tr>
    </w:tbl>
    <w:p w:rsidR="00E22F4C" w:rsidRDefault="00E22F4C">
      <w:pPr>
        <w:spacing w:before="100" w:after="100" w:line="0" w:lineRule="atLeast"/>
      </w:pPr>
    </w:p>
    <w:p w:rsidR="00E22F4C" w:rsidRDefault="00E22F4C">
      <w:pPr>
        <w:pStyle w:val="a4"/>
        <w:spacing w:before="60" w:beforeAutospacing="0" w:after="120" w:afterAutospacing="0" w:line="520" w:lineRule="atLeast"/>
        <w:ind w:firstLine="420"/>
        <w:jc w:val="both"/>
        <w:divId w:val="463079821"/>
        <w:rPr>
          <w:rFonts w:ascii="Times New Roman" w:hAnsi="Times New Roman" w:cs="Times New Roman"/>
          <w:sz w:val="21"/>
          <w:szCs w:val="21"/>
        </w:rPr>
      </w:pPr>
      <w:r>
        <w:rPr>
          <w:rFonts w:cs="Times New Roman" w:hint="eastAsia"/>
          <w:sz w:val="21"/>
          <w:szCs w:val="21"/>
        </w:rPr>
        <w:t>注</w:t>
      </w:r>
      <w:r>
        <w:rPr>
          <w:rFonts w:ascii="Times New Roman" w:hAnsi="Times New Roman" w:cs="Times New Roman"/>
          <w:sz w:val="21"/>
          <w:szCs w:val="21"/>
        </w:rPr>
        <w:t>1</w:t>
      </w:r>
      <w:r>
        <w:rPr>
          <w:rFonts w:cs="Times New Roman" w:hint="eastAsia"/>
          <w:sz w:val="21"/>
          <w:szCs w:val="21"/>
        </w:rPr>
        <w:t>：</w:t>
      </w:r>
      <w:r>
        <w:rPr>
          <w:rFonts w:ascii="Times New Roman" w:hAnsi="Times New Roman" w:cs="Times New Roman"/>
          <w:sz w:val="21"/>
          <w:szCs w:val="21"/>
        </w:rPr>
        <w:t> </w:t>
      </w:r>
      <w:r>
        <w:rPr>
          <w:rFonts w:cs="Times New Roman" w:hint="eastAsia"/>
          <w:sz w:val="21"/>
          <w:szCs w:val="21"/>
        </w:rPr>
        <w:t>依据赣州市《重大工业项目投资引导资金管委会</w:t>
      </w:r>
      <w:r>
        <w:rPr>
          <w:rFonts w:ascii="Times New Roman" w:hAnsi="Times New Roman" w:cs="Times New Roman"/>
          <w:sz w:val="21"/>
          <w:szCs w:val="21"/>
        </w:rPr>
        <w:t>2020</w:t>
      </w:r>
      <w:r>
        <w:rPr>
          <w:rFonts w:cs="Times New Roman" w:hint="eastAsia"/>
          <w:sz w:val="21"/>
          <w:szCs w:val="21"/>
        </w:rPr>
        <w:t>年第十二次会议决议》，对江西翔鹭引导资金项目</w:t>
      </w:r>
      <w:r>
        <w:rPr>
          <w:rFonts w:ascii="Times New Roman" w:hAnsi="Times New Roman" w:cs="Times New Roman"/>
          <w:sz w:val="21"/>
          <w:szCs w:val="21"/>
        </w:rPr>
        <w:t>2022</w:t>
      </w:r>
      <w:r>
        <w:rPr>
          <w:rFonts w:cs="Times New Roman" w:hint="eastAsia"/>
          <w:sz w:val="21"/>
          <w:szCs w:val="21"/>
        </w:rPr>
        <w:t>年利息与贴息进行计算并向相关部门申报审批。</w:t>
      </w:r>
    </w:p>
    <w:p w:rsidR="00E22F4C" w:rsidRDefault="00E22F4C">
      <w:pPr>
        <w:pStyle w:val="a4"/>
        <w:spacing w:before="60" w:beforeAutospacing="0" w:after="120" w:afterAutospacing="0" w:line="520" w:lineRule="atLeast"/>
        <w:ind w:firstLine="420"/>
        <w:jc w:val="both"/>
        <w:divId w:val="463079821"/>
        <w:rPr>
          <w:rFonts w:ascii="Times New Roman" w:hAnsi="Times New Roman" w:cs="Times New Roman"/>
          <w:sz w:val="21"/>
          <w:szCs w:val="21"/>
        </w:rPr>
      </w:pPr>
      <w:r>
        <w:rPr>
          <w:rFonts w:cs="Times New Roman" w:hint="eastAsia"/>
          <w:sz w:val="21"/>
          <w:szCs w:val="21"/>
        </w:rPr>
        <w:t>注</w:t>
      </w:r>
      <w:r>
        <w:rPr>
          <w:rFonts w:ascii="Times New Roman" w:hAnsi="Times New Roman" w:cs="Times New Roman"/>
          <w:sz w:val="21"/>
          <w:szCs w:val="21"/>
        </w:rPr>
        <w:t>2</w:t>
      </w:r>
      <w:r>
        <w:rPr>
          <w:rFonts w:cs="Times New Roman" w:hint="eastAsia"/>
          <w:sz w:val="21"/>
          <w:szCs w:val="21"/>
        </w:rPr>
        <w:t>：</w:t>
      </w:r>
      <w:r>
        <w:rPr>
          <w:rFonts w:ascii="Times New Roman" w:hAnsi="Times New Roman" w:cs="Times New Roman"/>
          <w:sz w:val="21"/>
          <w:szCs w:val="21"/>
        </w:rPr>
        <w:t> </w:t>
      </w:r>
      <w:r>
        <w:rPr>
          <w:rFonts w:cs="Times New Roman" w:hint="eastAsia"/>
          <w:sz w:val="21"/>
          <w:szCs w:val="21"/>
        </w:rPr>
        <w:t>依据赣州市《全市稀土钨产品销售奖励办法（暂行）》，计算</w:t>
      </w:r>
      <w:r>
        <w:rPr>
          <w:rFonts w:ascii="Times New Roman" w:hAnsi="Times New Roman" w:cs="Times New Roman"/>
          <w:sz w:val="21"/>
          <w:szCs w:val="21"/>
        </w:rPr>
        <w:t>2022</w:t>
      </w:r>
      <w:r>
        <w:rPr>
          <w:rFonts w:cs="Times New Roman" w:hint="eastAsia"/>
          <w:sz w:val="21"/>
          <w:szCs w:val="21"/>
        </w:rPr>
        <w:t>年各季度补助金额，并向相关部门申报审批。</w:t>
      </w:r>
    </w:p>
    <w:p w:rsidR="00E22F4C" w:rsidRDefault="00381575">
      <w:pPr>
        <w:keepNext/>
        <w:keepLines/>
        <w:spacing w:before="300" w:after="300" w:line="280" w:lineRule="exact"/>
        <w:outlineLvl w:val="4"/>
        <w:rPr>
          <w:rFonts w:ascii="宋体" w:eastAsia="宋体" w:hAnsi="宋体" w:cs="宋体"/>
          <w:b/>
          <w:bCs/>
          <w:szCs w:val="21"/>
        </w:rPr>
      </w:pPr>
      <w:bookmarkStart w:id="277" w:name="_Toc989166"/>
      <w:r>
        <w:rPr>
          <w:rFonts w:ascii="宋体" w:eastAsia="宋体" w:hAnsi="宋体" w:cs="宋体"/>
          <w:b/>
          <w:bCs/>
          <w:szCs w:val="21"/>
        </w:rPr>
        <w:t>7） 因金融资产转移而终止确认的其他应收款</w:t>
      </w:r>
      <w:bookmarkEnd w:id="277"/>
    </w:p>
    <w:p w:rsidR="00E22F4C" w:rsidRDefault="00E22F4C">
      <w:pPr>
        <w:divId w:val="1257443289"/>
        <w:rPr>
          <w:sz w:val="18"/>
          <w:szCs w:val="18"/>
        </w:rPr>
      </w:pPr>
    </w:p>
    <w:p w:rsidR="00E22F4C" w:rsidRDefault="00381575">
      <w:pPr>
        <w:keepNext/>
        <w:keepLines/>
        <w:spacing w:before="300" w:after="300" w:line="280" w:lineRule="exact"/>
        <w:outlineLvl w:val="4"/>
        <w:rPr>
          <w:rFonts w:ascii="宋体" w:eastAsia="宋体" w:hAnsi="宋体" w:cs="宋体"/>
          <w:b/>
          <w:bCs/>
          <w:szCs w:val="21"/>
        </w:rPr>
      </w:pPr>
      <w:bookmarkStart w:id="278" w:name="_Toc989167"/>
      <w:r>
        <w:rPr>
          <w:rFonts w:ascii="宋体" w:eastAsia="宋体" w:hAnsi="宋体" w:cs="宋体"/>
          <w:b/>
          <w:bCs/>
          <w:szCs w:val="21"/>
        </w:rPr>
        <w:t>8） 转移其他应收款且继续涉入形成的资产、负债金额</w:t>
      </w:r>
      <w:bookmarkEnd w:id="278"/>
    </w:p>
    <w:p w:rsidR="00E22F4C" w:rsidRDefault="00E22F4C">
      <w:pPr>
        <w:divId w:val="1257057096"/>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676004696"/>
        <w:rPr>
          <w:sz w:val="18"/>
          <w:szCs w:val="18"/>
        </w:rPr>
      </w:pPr>
    </w:p>
    <w:p w:rsidR="00E22F4C" w:rsidRDefault="00381575">
      <w:pPr>
        <w:pStyle w:val="3"/>
        <w:spacing w:line="280" w:lineRule="exact"/>
        <w:jc w:val="left"/>
        <w:rPr>
          <w:rFonts w:ascii="宋体" w:hAnsi="宋体" w:cs="宋体"/>
          <w:b/>
          <w:bCs/>
        </w:rPr>
      </w:pPr>
      <w:bookmarkStart w:id="279" w:name="_Toc989168"/>
      <w:r>
        <w:rPr>
          <w:rFonts w:ascii="宋体" w:hAnsi="宋体" w:cs="宋体"/>
          <w:b/>
          <w:bCs/>
        </w:rPr>
        <w:t>9、存货</w:t>
      </w:r>
      <w:bookmarkEnd w:id="27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公司是否需要遵守房地产行业的披露要求</w:t>
      </w: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p w:rsidR="00E22F4C" w:rsidRDefault="00381575">
      <w:pPr>
        <w:keepNext/>
        <w:keepLines/>
        <w:spacing w:before="300" w:after="300" w:line="280" w:lineRule="exact"/>
        <w:outlineLvl w:val="3"/>
        <w:rPr>
          <w:rFonts w:ascii="宋体" w:eastAsia="宋体" w:hAnsi="宋体" w:cs="宋体"/>
          <w:b/>
          <w:bCs/>
          <w:szCs w:val="21"/>
        </w:rPr>
      </w:pPr>
      <w:bookmarkStart w:id="280" w:name="_Toc989169"/>
      <w:r>
        <w:rPr>
          <w:rFonts w:ascii="宋体" w:eastAsia="宋体" w:hAnsi="宋体" w:cs="宋体"/>
          <w:b/>
          <w:bCs/>
          <w:szCs w:val="21"/>
        </w:rPr>
        <w:t>（1） 存货分类</w:t>
      </w:r>
      <w:bookmarkEnd w:id="28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219,726,029.81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219,726,029.81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246,956,322.52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246,956,322.52</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在产品</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171,802,630.48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171,802,630.48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154,911,618.70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154,911,618.70</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205,506,650.16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6,918,453.40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198,588,196.76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217,114,804.02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3,659,976.22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213,454,827.80</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半成品</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146,075,616.98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146,075,616.98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145,971,370.22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145,971,370.22</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委托加工物资</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1,017,631.46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1,017,631.46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6,410,754.74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6,410,754.74</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744,128,558.89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6,918,453.40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737,210,105.49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771,364,870.20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3,659,976.22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767,704,893.98</w:t>
            </w:r>
          </w:p>
        </w:tc>
      </w:tr>
    </w:tbl>
    <w:p w:rsidR="00E22F4C" w:rsidRDefault="00381575">
      <w:pPr>
        <w:keepNext/>
        <w:keepLines/>
        <w:spacing w:before="300" w:after="300" w:line="280" w:lineRule="exact"/>
        <w:outlineLvl w:val="3"/>
        <w:rPr>
          <w:rFonts w:ascii="宋体" w:eastAsia="宋体" w:hAnsi="宋体" w:cs="宋体"/>
          <w:b/>
          <w:bCs/>
          <w:szCs w:val="21"/>
        </w:rPr>
      </w:pPr>
      <w:bookmarkStart w:id="281" w:name="_Toc989170"/>
      <w:r>
        <w:rPr>
          <w:rFonts w:ascii="宋体" w:eastAsia="宋体" w:hAnsi="宋体" w:cs="宋体"/>
          <w:b/>
          <w:bCs/>
          <w:szCs w:val="21"/>
        </w:rPr>
        <w:lastRenderedPageBreak/>
        <w:t>（2） 存货跌价准备和合同履约成本减值准备</w:t>
      </w:r>
      <w:bookmarkEnd w:id="28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转回或转销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3,659,976.22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6,817,173.43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3,558,696.25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6,918,453.40</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3,659,976.22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6,817,173.43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3,558,696.25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6,918,453.40</w:t>
            </w:r>
          </w:p>
        </w:tc>
      </w:tr>
    </w:tbl>
    <w:p w:rsidR="00E22F4C" w:rsidRDefault="00E22F4C">
      <w:pPr>
        <w:pStyle w:val="a4"/>
        <w:spacing w:before="60" w:beforeAutospacing="0" w:after="60" w:afterAutospacing="0" w:line="460" w:lineRule="atLeast"/>
        <w:ind w:firstLine="420"/>
        <w:jc w:val="both"/>
        <w:divId w:val="670331499"/>
        <w:rPr>
          <w:rFonts w:ascii="Times New Roman" w:hAnsi="Times New Roman" w:cs="Times New Roman"/>
          <w:sz w:val="21"/>
          <w:szCs w:val="21"/>
        </w:rPr>
      </w:pPr>
      <w:r>
        <w:rPr>
          <w:rFonts w:cs="Times New Roman" w:hint="eastAsia"/>
          <w:sz w:val="21"/>
          <w:szCs w:val="21"/>
        </w:rPr>
        <w:t>公司期末按照单个存货项目以可变现净值低于账面成本差额计提存货跌价准备，公司存货可变现净值根据估计售价减去至完工估计将要发生的成本、估计的销售费用以及相关税金后的金额确定。</w:t>
      </w:r>
    </w:p>
    <w:p w:rsidR="00E22F4C" w:rsidRDefault="00381575">
      <w:pPr>
        <w:keepNext/>
        <w:keepLines/>
        <w:spacing w:before="300" w:after="300" w:line="280" w:lineRule="exact"/>
        <w:outlineLvl w:val="3"/>
        <w:rPr>
          <w:rFonts w:ascii="宋体" w:eastAsia="宋体" w:hAnsi="宋体" w:cs="宋体"/>
          <w:b/>
          <w:bCs/>
          <w:szCs w:val="21"/>
        </w:rPr>
      </w:pPr>
      <w:bookmarkStart w:id="282" w:name="_Toc989171"/>
      <w:r>
        <w:rPr>
          <w:rFonts w:ascii="宋体" w:eastAsia="宋体" w:hAnsi="宋体" w:cs="宋体"/>
          <w:b/>
          <w:bCs/>
          <w:szCs w:val="21"/>
        </w:rPr>
        <w:t>（3） 存货期末余额含有借款费用资本化金额的说明</w:t>
      </w:r>
      <w:bookmarkEnd w:id="282"/>
    </w:p>
    <w:p w:rsidR="00E22F4C" w:rsidRDefault="00E22F4C">
      <w:pPr>
        <w:pStyle w:val="a4"/>
        <w:spacing w:before="60" w:beforeAutospacing="0" w:after="60" w:afterAutospacing="0" w:line="500" w:lineRule="atLeast"/>
        <w:ind w:firstLine="424"/>
        <w:jc w:val="both"/>
        <w:divId w:val="1487894058"/>
        <w:rPr>
          <w:rFonts w:ascii="Times New Roman" w:hAnsi="Times New Roman" w:cs="Times New Roman"/>
          <w:sz w:val="21"/>
          <w:szCs w:val="21"/>
        </w:rPr>
      </w:pPr>
      <w:r>
        <w:rPr>
          <w:rFonts w:cs="Times New Roman" w:hint="eastAsia"/>
          <w:sz w:val="21"/>
          <w:szCs w:val="21"/>
        </w:rPr>
        <w:t>存货期末余额中含有借款费用资本化金额为</w:t>
      </w:r>
      <w:r>
        <w:rPr>
          <w:rFonts w:ascii="Times New Roman" w:hAnsi="Times New Roman" w:cs="Times New Roman"/>
          <w:sz w:val="21"/>
          <w:szCs w:val="21"/>
        </w:rPr>
        <w:t>0.00</w:t>
      </w:r>
      <w:r>
        <w:rPr>
          <w:rFonts w:cs="Times New Roman" w:hint="eastAsia"/>
          <w:sz w:val="21"/>
          <w:szCs w:val="21"/>
        </w:rPr>
        <w:t>元。</w:t>
      </w:r>
    </w:p>
    <w:p w:rsidR="00E22F4C" w:rsidRDefault="00381575">
      <w:pPr>
        <w:keepNext/>
        <w:keepLines/>
        <w:spacing w:before="300" w:after="300" w:line="280" w:lineRule="exact"/>
        <w:outlineLvl w:val="3"/>
        <w:rPr>
          <w:rFonts w:ascii="宋体" w:eastAsia="宋体" w:hAnsi="宋体" w:cs="宋体"/>
          <w:b/>
          <w:bCs/>
          <w:szCs w:val="21"/>
        </w:rPr>
      </w:pPr>
      <w:bookmarkStart w:id="283" w:name="_Toc989172"/>
      <w:r>
        <w:rPr>
          <w:rFonts w:ascii="宋体" w:eastAsia="宋体" w:hAnsi="宋体" w:cs="宋体"/>
          <w:b/>
          <w:bCs/>
          <w:szCs w:val="21"/>
        </w:rPr>
        <w:t>（4） 合同履约成本本期摊销金额的说明</w:t>
      </w:r>
      <w:bookmarkEnd w:id="283"/>
    </w:p>
    <w:p w:rsidR="00E22F4C" w:rsidRDefault="00E22F4C">
      <w:pPr>
        <w:divId w:val="1308170570"/>
        <w:rPr>
          <w:sz w:val="18"/>
          <w:szCs w:val="18"/>
        </w:rPr>
      </w:pPr>
    </w:p>
    <w:p w:rsidR="00E22F4C" w:rsidRDefault="00381575">
      <w:pPr>
        <w:pStyle w:val="3"/>
        <w:spacing w:line="280" w:lineRule="exact"/>
        <w:jc w:val="left"/>
        <w:rPr>
          <w:rFonts w:ascii="宋体" w:hAnsi="宋体" w:cs="宋体"/>
          <w:b/>
          <w:bCs/>
        </w:rPr>
      </w:pPr>
      <w:bookmarkStart w:id="284" w:name="_Toc989173"/>
      <w:r>
        <w:rPr>
          <w:rFonts w:ascii="宋体" w:hAnsi="宋体" w:cs="宋体"/>
          <w:b/>
          <w:bCs/>
        </w:rPr>
        <w:t>10、合同资产</w:t>
      </w:r>
      <w:bookmarkEnd w:id="28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合同资产的账面价值在本期内发生的重大变动金额和原因：</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变动金额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变动原因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如是按照预期信用损失一般模型计提合同资产坏账准备，请参照其他应收款的披露方式披露坏账准备的相关信息：</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本期合同资产计提减值准备情况：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本期转回</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本期转销/核销</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869223329"/>
        <w:rPr>
          <w:sz w:val="18"/>
          <w:szCs w:val="18"/>
        </w:rPr>
      </w:pPr>
    </w:p>
    <w:p w:rsidR="00E22F4C" w:rsidRDefault="00381575">
      <w:pPr>
        <w:pStyle w:val="3"/>
        <w:spacing w:line="280" w:lineRule="exact"/>
        <w:jc w:val="left"/>
        <w:rPr>
          <w:rFonts w:ascii="宋体" w:hAnsi="宋体" w:cs="宋体"/>
          <w:b/>
          <w:bCs/>
        </w:rPr>
      </w:pPr>
      <w:bookmarkStart w:id="285" w:name="_Toc989174"/>
      <w:r>
        <w:rPr>
          <w:rFonts w:ascii="宋体" w:hAnsi="宋体" w:cs="宋体"/>
          <w:b/>
          <w:bCs/>
        </w:rPr>
        <w:t>11、持有待售资产</w:t>
      </w:r>
      <w:bookmarkEnd w:id="28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公允价值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预计处置费用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预计处置时间</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81229833"/>
        <w:rPr>
          <w:sz w:val="18"/>
          <w:szCs w:val="18"/>
        </w:rPr>
      </w:pPr>
    </w:p>
    <w:p w:rsidR="00E22F4C" w:rsidRDefault="00381575">
      <w:pPr>
        <w:pStyle w:val="3"/>
        <w:spacing w:line="280" w:lineRule="exact"/>
        <w:jc w:val="left"/>
        <w:rPr>
          <w:rFonts w:ascii="宋体" w:hAnsi="宋体" w:cs="宋体"/>
          <w:b/>
          <w:bCs/>
        </w:rPr>
      </w:pPr>
      <w:bookmarkStart w:id="286" w:name="_Toc989175"/>
      <w:r>
        <w:rPr>
          <w:rFonts w:ascii="宋体" w:hAnsi="宋体" w:cs="宋体"/>
          <w:b/>
          <w:bCs/>
        </w:rPr>
        <w:lastRenderedPageBreak/>
        <w:t>12、一年内到期的非流动资产</w:t>
      </w:r>
      <w:bookmarkEnd w:id="28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重要的债权投资/其他债权投资</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债权项目</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到期日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到期日</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460682970"/>
        <w:rPr>
          <w:sz w:val="18"/>
          <w:szCs w:val="18"/>
        </w:rPr>
      </w:pPr>
    </w:p>
    <w:p w:rsidR="00E22F4C" w:rsidRDefault="00381575">
      <w:pPr>
        <w:pStyle w:val="3"/>
        <w:spacing w:line="280" w:lineRule="exact"/>
        <w:jc w:val="left"/>
        <w:rPr>
          <w:rFonts w:ascii="宋体" w:hAnsi="宋体" w:cs="宋体"/>
          <w:b/>
          <w:bCs/>
        </w:rPr>
      </w:pPr>
      <w:bookmarkStart w:id="287" w:name="_Toc989176"/>
      <w:r>
        <w:rPr>
          <w:rFonts w:ascii="宋体" w:hAnsi="宋体" w:cs="宋体"/>
          <w:b/>
          <w:bCs/>
        </w:rPr>
        <w:t>13、其他流动资产</w:t>
      </w:r>
      <w:bookmarkEnd w:id="28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待抵扣增值税进项税额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866,206.66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53,620,547.65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待认证增值税进项税额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2,197,373.30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22,468,432.75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预缴税金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549,708.40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876,062.39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3,613,288.36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76,965,042.79</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663120132"/>
        <w:rPr>
          <w:sz w:val="18"/>
          <w:szCs w:val="18"/>
        </w:rPr>
      </w:pPr>
    </w:p>
    <w:p w:rsidR="00E22F4C" w:rsidRDefault="00381575">
      <w:pPr>
        <w:pStyle w:val="3"/>
        <w:spacing w:line="280" w:lineRule="exact"/>
        <w:jc w:val="left"/>
        <w:rPr>
          <w:rFonts w:ascii="宋体" w:hAnsi="宋体" w:cs="宋体"/>
          <w:b/>
          <w:bCs/>
        </w:rPr>
      </w:pPr>
      <w:bookmarkStart w:id="288" w:name="_Toc989177"/>
      <w:r>
        <w:rPr>
          <w:rFonts w:ascii="宋体" w:hAnsi="宋体" w:cs="宋体"/>
          <w:b/>
          <w:bCs/>
        </w:rPr>
        <w:t>14、债权投资</w:t>
      </w:r>
      <w:bookmarkEnd w:id="28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重要的债权投资</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债权项目</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到期日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到期日</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减值准备计提情况</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904797362"/>
        <w:rPr>
          <w:sz w:val="18"/>
          <w:szCs w:val="18"/>
        </w:rPr>
      </w:pPr>
    </w:p>
    <w:p w:rsidR="00E22F4C" w:rsidRDefault="00381575">
      <w:pPr>
        <w:pStyle w:val="3"/>
        <w:spacing w:line="280" w:lineRule="exact"/>
        <w:jc w:val="left"/>
        <w:rPr>
          <w:rFonts w:ascii="宋体" w:hAnsi="宋体" w:cs="宋体"/>
          <w:b/>
          <w:bCs/>
        </w:rPr>
      </w:pPr>
      <w:bookmarkStart w:id="289" w:name="_Toc989178"/>
      <w:r>
        <w:rPr>
          <w:rFonts w:ascii="宋体" w:hAnsi="宋体" w:cs="宋体"/>
          <w:b/>
          <w:bCs/>
        </w:rPr>
        <w:lastRenderedPageBreak/>
        <w:t>15、其他债权投资</w:t>
      </w:r>
      <w:bookmarkEnd w:id="28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应计利息</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累计在其他综合收益中确认的损失准备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重要的其他债权投资</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其他债权项目</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到期日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到期日</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减值准备计提情况</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02282172"/>
        <w:rPr>
          <w:sz w:val="18"/>
          <w:szCs w:val="18"/>
        </w:rPr>
      </w:pPr>
    </w:p>
    <w:p w:rsidR="00E22F4C" w:rsidRDefault="00381575">
      <w:pPr>
        <w:pStyle w:val="3"/>
        <w:spacing w:line="280" w:lineRule="exact"/>
        <w:jc w:val="left"/>
        <w:rPr>
          <w:rFonts w:ascii="宋体" w:hAnsi="宋体" w:cs="宋体"/>
          <w:b/>
          <w:bCs/>
        </w:rPr>
      </w:pPr>
      <w:bookmarkStart w:id="290" w:name="_Toc989179"/>
      <w:r>
        <w:rPr>
          <w:rFonts w:ascii="宋体" w:hAnsi="宋体" w:cs="宋体"/>
          <w:b/>
          <w:bCs/>
        </w:rPr>
        <w:t>16、长期应收款</w:t>
      </w:r>
      <w:bookmarkEnd w:id="290"/>
    </w:p>
    <w:p w:rsidR="00E22F4C" w:rsidRDefault="00381575">
      <w:pPr>
        <w:keepNext/>
        <w:keepLines/>
        <w:spacing w:before="300" w:after="300" w:line="280" w:lineRule="exact"/>
        <w:outlineLvl w:val="3"/>
        <w:rPr>
          <w:rFonts w:ascii="宋体" w:eastAsia="宋体" w:hAnsi="宋体" w:cs="宋体"/>
          <w:b/>
          <w:bCs/>
          <w:szCs w:val="21"/>
        </w:rPr>
      </w:pPr>
      <w:bookmarkStart w:id="291" w:name="_Toc989180"/>
      <w:r>
        <w:rPr>
          <w:rFonts w:ascii="宋体" w:eastAsia="宋体" w:hAnsi="宋体" w:cs="宋体"/>
          <w:b/>
          <w:bCs/>
          <w:szCs w:val="21"/>
        </w:rPr>
        <w:t>（1） 长期应收款情况</w:t>
      </w:r>
      <w:bookmarkEnd w:id="29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E22F4C">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61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61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折现率区间</w:t>
            </w:r>
          </w:p>
        </w:tc>
      </w:tr>
      <w:tr w:rsidR="00E22F4C">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坏账准备减值情况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E22F4C">
      <w:pPr>
        <w:divId w:val="772942165"/>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92" w:name="_Toc989181"/>
      <w:r>
        <w:rPr>
          <w:rFonts w:ascii="宋体" w:eastAsia="宋体" w:hAnsi="宋体" w:cs="宋体"/>
          <w:b/>
          <w:bCs/>
          <w:szCs w:val="21"/>
        </w:rPr>
        <w:lastRenderedPageBreak/>
        <w:t>（2） 因金融资产转移而终止确认的长期应收款</w:t>
      </w:r>
      <w:bookmarkEnd w:id="292"/>
    </w:p>
    <w:p w:rsidR="00E22F4C" w:rsidRDefault="00E22F4C">
      <w:pPr>
        <w:divId w:val="1810054697"/>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293" w:name="_Toc989182"/>
      <w:r>
        <w:rPr>
          <w:rFonts w:ascii="宋体" w:eastAsia="宋体" w:hAnsi="宋体" w:cs="宋体"/>
          <w:b/>
          <w:bCs/>
          <w:szCs w:val="21"/>
        </w:rPr>
        <w:t>（3） 转移长期应收款且继续涉入形成的资产、负债金额</w:t>
      </w:r>
      <w:bookmarkEnd w:id="293"/>
    </w:p>
    <w:p w:rsidR="00E22F4C" w:rsidRDefault="00E22F4C">
      <w:pPr>
        <w:divId w:val="1892182629"/>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937664119"/>
        <w:rPr>
          <w:sz w:val="18"/>
          <w:szCs w:val="18"/>
        </w:rPr>
      </w:pPr>
    </w:p>
    <w:p w:rsidR="00E22F4C" w:rsidRDefault="00381575">
      <w:pPr>
        <w:pStyle w:val="3"/>
        <w:spacing w:line="280" w:lineRule="exact"/>
        <w:jc w:val="left"/>
        <w:rPr>
          <w:rFonts w:ascii="宋体" w:hAnsi="宋体" w:cs="宋体"/>
          <w:b/>
          <w:bCs/>
        </w:rPr>
      </w:pPr>
      <w:bookmarkStart w:id="294" w:name="_Toc989183"/>
      <w:r>
        <w:rPr>
          <w:rFonts w:ascii="宋体" w:hAnsi="宋体" w:cs="宋体"/>
          <w:b/>
          <w:bCs/>
        </w:rPr>
        <w:t>17、长期股权投资</w:t>
      </w:r>
      <w:bookmarkEnd w:id="29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3"/>
        <w:gridCol w:w="803"/>
        <w:gridCol w:w="803"/>
        <w:gridCol w:w="803"/>
        <w:gridCol w:w="803"/>
        <w:gridCol w:w="803"/>
        <w:gridCol w:w="803"/>
        <w:gridCol w:w="803"/>
        <w:gridCol w:w="803"/>
        <w:gridCol w:w="805"/>
        <w:gridCol w:w="803"/>
        <w:gridCol w:w="804"/>
      </w:tblGrid>
      <w:tr w:rsidR="00E22F4C">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被投资单位</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期初余额（账面价值）</w:t>
            </w:r>
          </w:p>
        </w:tc>
        <w:tc>
          <w:tcPr>
            <w:tcW w:w="6426"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本期增减变动</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期末余额（账面价值）</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减值准备期末余额</w:t>
            </w:r>
          </w:p>
        </w:tc>
      </w:tr>
      <w:tr w:rsidR="00E22F4C">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追加投资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减少投资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权益法下确认的投资损益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其他综合收益调整</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其他权益变动</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宣告发放现金股利或利润</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计提减值准备</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一、合营企业</w:t>
            </w:r>
          </w:p>
        </w:tc>
      </w:tr>
      <w:tr w:rsidR="00E22F4C">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二、联营企业</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40704470"/>
        <w:rPr>
          <w:sz w:val="18"/>
          <w:szCs w:val="18"/>
        </w:rPr>
      </w:pPr>
    </w:p>
    <w:p w:rsidR="00E22F4C" w:rsidRDefault="00381575">
      <w:pPr>
        <w:pStyle w:val="3"/>
        <w:spacing w:line="280" w:lineRule="exact"/>
        <w:jc w:val="left"/>
        <w:rPr>
          <w:rFonts w:ascii="宋体" w:hAnsi="宋体" w:cs="宋体"/>
          <w:b/>
          <w:bCs/>
        </w:rPr>
      </w:pPr>
      <w:bookmarkStart w:id="295" w:name="_Toc989184"/>
      <w:r>
        <w:rPr>
          <w:rFonts w:ascii="宋体" w:hAnsi="宋体" w:cs="宋体"/>
          <w:b/>
          <w:bCs/>
        </w:rPr>
        <w:t>18、其他权益工具投资</w:t>
      </w:r>
      <w:bookmarkEnd w:id="29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非交易性权益工具投资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分项披露本期非交易性权益工具投资</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确认的股利收入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累计利得</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累计损失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其他综合收益转入留存收益的金额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指定为以公允价值计量且其变动计入其他综合收益的原因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其他综合收益转入留存收益的原因</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潮安县兆丰小额贷款股份有限公司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2,693,916.59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广州民营投资股份有限公司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463425008"/>
        <w:rPr>
          <w:sz w:val="18"/>
          <w:szCs w:val="18"/>
        </w:rPr>
      </w:pPr>
    </w:p>
    <w:p w:rsidR="00E22F4C" w:rsidRDefault="00381575">
      <w:pPr>
        <w:pStyle w:val="3"/>
        <w:spacing w:line="280" w:lineRule="exact"/>
        <w:jc w:val="left"/>
        <w:rPr>
          <w:rFonts w:ascii="宋体" w:hAnsi="宋体" w:cs="宋体"/>
          <w:b/>
          <w:bCs/>
        </w:rPr>
      </w:pPr>
      <w:bookmarkStart w:id="296" w:name="_Toc989185"/>
      <w:r>
        <w:rPr>
          <w:rFonts w:ascii="宋体" w:hAnsi="宋体" w:cs="宋体"/>
          <w:b/>
          <w:bCs/>
        </w:rPr>
        <w:lastRenderedPageBreak/>
        <w:t>19、其他非流动金融资产</w:t>
      </w:r>
      <w:bookmarkEnd w:id="29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862279467"/>
        <w:rPr>
          <w:sz w:val="18"/>
          <w:szCs w:val="18"/>
        </w:rPr>
      </w:pPr>
    </w:p>
    <w:p w:rsidR="00E22F4C" w:rsidRDefault="00381575">
      <w:pPr>
        <w:pStyle w:val="3"/>
        <w:spacing w:line="280" w:lineRule="exact"/>
        <w:jc w:val="left"/>
        <w:rPr>
          <w:rFonts w:ascii="宋体" w:hAnsi="宋体" w:cs="宋体"/>
          <w:b/>
          <w:bCs/>
        </w:rPr>
      </w:pPr>
      <w:bookmarkStart w:id="297" w:name="_Toc989186"/>
      <w:r>
        <w:rPr>
          <w:rFonts w:ascii="宋体" w:hAnsi="宋体" w:cs="宋体"/>
          <w:b/>
          <w:bCs/>
        </w:rPr>
        <w:t>20、投资性房地产</w:t>
      </w:r>
      <w:bookmarkEnd w:id="297"/>
    </w:p>
    <w:p w:rsidR="00E22F4C" w:rsidRDefault="00381575">
      <w:pPr>
        <w:keepNext/>
        <w:keepLines/>
        <w:spacing w:before="300" w:after="300" w:line="280" w:lineRule="exact"/>
        <w:outlineLvl w:val="3"/>
        <w:rPr>
          <w:rFonts w:ascii="宋体" w:eastAsia="宋体" w:hAnsi="宋体" w:cs="宋体"/>
          <w:b/>
          <w:bCs/>
          <w:sz w:val="18"/>
          <w:szCs w:val="18"/>
        </w:rPr>
      </w:pPr>
      <w:bookmarkStart w:id="298" w:name="_Toc989187"/>
      <w:r>
        <w:rPr>
          <w:rFonts w:ascii="宋体" w:eastAsia="宋体" w:hAnsi="宋体" w:cs="宋体"/>
          <w:b/>
          <w:bCs/>
          <w:sz w:val="18"/>
          <w:szCs w:val="18"/>
        </w:rPr>
        <w:t>（1） 采用成本计量模式的投资性房地产</w:t>
      </w:r>
      <w:bookmarkEnd w:id="298"/>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 w:val="18"/>
          <w:szCs w:val="18"/>
        </w:rPr>
      </w:pPr>
      <w:bookmarkStart w:id="299" w:name="_Toc989188"/>
      <w:r>
        <w:rPr>
          <w:rFonts w:ascii="宋体" w:eastAsia="宋体" w:hAnsi="宋体" w:cs="宋体"/>
          <w:b/>
          <w:bCs/>
          <w:sz w:val="18"/>
          <w:szCs w:val="18"/>
        </w:rPr>
        <w:t>（2） 采用公允价值计量模式的投资性房地产</w:t>
      </w:r>
      <w:bookmarkEnd w:id="29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 w:val="18"/>
          <w:szCs w:val="18"/>
        </w:rPr>
      </w:pPr>
      <w:bookmarkStart w:id="300" w:name="_Toc989189"/>
      <w:r>
        <w:rPr>
          <w:rFonts w:ascii="宋体" w:eastAsia="宋体" w:hAnsi="宋体" w:cs="宋体"/>
          <w:b/>
          <w:bCs/>
          <w:sz w:val="18"/>
          <w:szCs w:val="18"/>
        </w:rPr>
        <w:t>（3） 未办妥产权证书的投资性房地产情况</w:t>
      </w:r>
      <w:bookmarkEnd w:id="30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844856551"/>
        <w:rPr>
          <w:sz w:val="18"/>
          <w:szCs w:val="18"/>
        </w:rPr>
      </w:pPr>
    </w:p>
    <w:p w:rsidR="00E22F4C" w:rsidRDefault="00381575">
      <w:pPr>
        <w:pStyle w:val="3"/>
        <w:spacing w:line="280" w:lineRule="exact"/>
        <w:jc w:val="left"/>
        <w:rPr>
          <w:rFonts w:ascii="宋体" w:hAnsi="宋体" w:cs="宋体"/>
          <w:b/>
          <w:bCs/>
        </w:rPr>
      </w:pPr>
      <w:bookmarkStart w:id="301" w:name="_Toc989190"/>
      <w:r>
        <w:rPr>
          <w:rFonts w:ascii="宋体" w:hAnsi="宋体" w:cs="宋体"/>
          <w:b/>
          <w:bCs/>
        </w:rPr>
        <w:t>21、固定资产</w:t>
      </w:r>
      <w:bookmarkEnd w:id="30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728,960,597.70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721,433,903.07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728,960,597.70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721,433,903.07</w:t>
            </w:r>
          </w:p>
        </w:tc>
      </w:tr>
    </w:tbl>
    <w:p w:rsidR="00E22F4C" w:rsidRDefault="00381575">
      <w:pPr>
        <w:keepNext/>
        <w:keepLines/>
        <w:spacing w:before="300" w:after="300" w:line="280" w:lineRule="exact"/>
        <w:outlineLvl w:val="3"/>
        <w:rPr>
          <w:rFonts w:ascii="宋体" w:eastAsia="宋体" w:hAnsi="宋体" w:cs="宋体"/>
          <w:b/>
          <w:bCs/>
          <w:szCs w:val="21"/>
        </w:rPr>
      </w:pPr>
      <w:bookmarkStart w:id="302" w:name="_Toc989191"/>
      <w:r>
        <w:rPr>
          <w:rFonts w:ascii="宋体" w:eastAsia="宋体" w:hAnsi="宋体" w:cs="宋体"/>
          <w:b/>
          <w:bCs/>
          <w:szCs w:val="21"/>
        </w:rPr>
        <w:t>（1） 固定资产情况</w:t>
      </w:r>
      <w:bookmarkEnd w:id="30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房屋建筑物</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机器设备</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运输设备</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办公设备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373,260,395.65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537,994,445.08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20,336,410.00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28,528,984.35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960,120,235.08</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35,388,563.11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47,979,006.10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2,181,119.46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1,113,061.82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86,661,750.49</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（1）购置</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1,340,621.81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4,647,708.93</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2,181,119.46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1,113,061.82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9,282,512.02</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（2）在建工程转入</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32,071,709.89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43,331,297.17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75,403,007.06</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（3）企业合并增加</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（3）其他</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1,976,231.41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1,976,231.41</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101,557.26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26,244,108.44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753,811.49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27,169,477.19</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101,557.26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26,244,108.44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753,811.49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27,169,477.19</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408,547,401.50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559,729,342.74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22,447,529.46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28,888,234.68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1,019,612,508.38</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二、累计折旧</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55,188,337.50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161,003,018.58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11,951,597.32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10,543,378.61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238,686,332.01</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17,094,729.09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53,033,745.29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2,053,685.89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3,231,837.88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75,413,998.15</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17,094,729.09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53,033,745.29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2,053,685.89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3,231,837.88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75,413,998.15</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19,493.53</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22,831,317.70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527,608.25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23,448,419.48</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19,493.53</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22,831,317.70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527,608.25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23,448,419.48</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72,263,573.06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191,205,446.17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13,935,283.21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13,247,608.24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290,651,910.68</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336,283,828.44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368,523,896.57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8,512,246.25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15,640,626.44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728,960,597.70</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318,072,058.15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376,991,426.50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8,384,812.68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17,985,605.74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721,433,903.07</w:t>
            </w:r>
          </w:p>
        </w:tc>
      </w:tr>
    </w:tbl>
    <w:p w:rsidR="00E22F4C" w:rsidRDefault="00381575">
      <w:pPr>
        <w:keepNext/>
        <w:keepLines/>
        <w:spacing w:before="300" w:after="300" w:line="280" w:lineRule="exact"/>
        <w:outlineLvl w:val="3"/>
        <w:rPr>
          <w:rFonts w:ascii="宋体" w:eastAsia="宋体" w:hAnsi="宋体" w:cs="宋体"/>
          <w:b/>
          <w:bCs/>
          <w:szCs w:val="21"/>
        </w:rPr>
      </w:pPr>
      <w:bookmarkStart w:id="303" w:name="_Toc989192"/>
      <w:r>
        <w:rPr>
          <w:rFonts w:ascii="宋体" w:eastAsia="宋体" w:hAnsi="宋体" w:cs="宋体"/>
          <w:b/>
          <w:bCs/>
          <w:szCs w:val="21"/>
        </w:rPr>
        <w:t>（2） 暂时闲置的固定资产情况</w:t>
      </w:r>
      <w:bookmarkEnd w:id="30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账面原值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累计折旧</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bl>
    <w:p w:rsidR="00E22F4C" w:rsidRDefault="00381575">
      <w:pPr>
        <w:keepNext/>
        <w:keepLines/>
        <w:spacing w:before="300" w:after="300" w:line="280" w:lineRule="exact"/>
        <w:outlineLvl w:val="3"/>
        <w:rPr>
          <w:rFonts w:ascii="宋体" w:eastAsia="宋体" w:hAnsi="宋体" w:cs="宋体"/>
          <w:b/>
          <w:bCs/>
          <w:szCs w:val="21"/>
        </w:rPr>
      </w:pPr>
      <w:bookmarkStart w:id="304" w:name="_Toc989193"/>
      <w:r>
        <w:rPr>
          <w:rFonts w:ascii="宋体" w:eastAsia="宋体" w:hAnsi="宋体" w:cs="宋体"/>
          <w:b/>
          <w:bCs/>
          <w:szCs w:val="21"/>
        </w:rPr>
        <w:t>（3） 通过经营租赁租出的固定资产</w:t>
      </w:r>
      <w:bookmarkEnd w:id="30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期末账面价值</w:t>
            </w:r>
          </w:p>
        </w:tc>
      </w:tr>
    </w:tbl>
    <w:p w:rsidR="00E22F4C" w:rsidRDefault="00381575">
      <w:pPr>
        <w:keepNext/>
        <w:keepLines/>
        <w:spacing w:before="300" w:after="300" w:line="280" w:lineRule="exact"/>
        <w:outlineLvl w:val="3"/>
        <w:rPr>
          <w:rFonts w:ascii="宋体" w:eastAsia="宋体" w:hAnsi="宋体" w:cs="宋体"/>
          <w:b/>
          <w:bCs/>
          <w:szCs w:val="21"/>
        </w:rPr>
      </w:pPr>
      <w:bookmarkStart w:id="305" w:name="_Toc989194"/>
      <w:r>
        <w:rPr>
          <w:rFonts w:ascii="宋体" w:eastAsia="宋体" w:hAnsi="宋体" w:cs="宋体"/>
          <w:b/>
          <w:bCs/>
          <w:szCs w:val="21"/>
        </w:rPr>
        <w:lastRenderedPageBreak/>
        <w:t>（4） 未办妥产权证书的固定资产情况</w:t>
      </w:r>
      <w:bookmarkEnd w:id="30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未办妥产权证书的原因</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综合大楼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17,802,285.73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正在办理中</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新蓝钨车间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1,518,841.87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正在办理中</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翔宇车间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364,859.48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正在办理中</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制氢车间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109,350.44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正在办理中</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035472336"/>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306" w:name="_Toc989195"/>
      <w:r>
        <w:rPr>
          <w:rFonts w:ascii="宋体" w:eastAsia="宋体" w:hAnsi="宋体" w:cs="宋体"/>
          <w:b/>
          <w:bCs/>
          <w:szCs w:val="21"/>
        </w:rPr>
        <w:t>（5） 固定资产清理</w:t>
      </w:r>
      <w:bookmarkEnd w:id="30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876968057"/>
        <w:rPr>
          <w:sz w:val="18"/>
          <w:szCs w:val="18"/>
        </w:rPr>
      </w:pPr>
    </w:p>
    <w:p w:rsidR="00E22F4C" w:rsidRDefault="00381575">
      <w:pPr>
        <w:pStyle w:val="3"/>
        <w:spacing w:line="280" w:lineRule="exact"/>
        <w:jc w:val="left"/>
        <w:rPr>
          <w:rFonts w:ascii="宋体" w:hAnsi="宋体" w:cs="宋体"/>
          <w:b/>
          <w:bCs/>
        </w:rPr>
      </w:pPr>
      <w:bookmarkStart w:id="307" w:name="_Toc989196"/>
      <w:r>
        <w:rPr>
          <w:rFonts w:ascii="宋体" w:hAnsi="宋体" w:cs="宋体"/>
          <w:b/>
          <w:bCs/>
        </w:rPr>
        <w:t>22、在建工程</w:t>
      </w:r>
      <w:bookmarkEnd w:id="30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16,230,522.64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55,182,370.50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工程物资</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99,488.46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227,772.95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16,330,011.10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55,410,143.45</w:t>
            </w:r>
          </w:p>
        </w:tc>
      </w:tr>
    </w:tbl>
    <w:p w:rsidR="00E22F4C" w:rsidRDefault="00381575">
      <w:pPr>
        <w:keepNext/>
        <w:keepLines/>
        <w:spacing w:before="300" w:after="300" w:line="280" w:lineRule="exact"/>
        <w:outlineLvl w:val="3"/>
        <w:rPr>
          <w:rFonts w:ascii="宋体" w:eastAsia="宋体" w:hAnsi="宋体" w:cs="宋体"/>
          <w:b/>
          <w:bCs/>
          <w:szCs w:val="21"/>
        </w:rPr>
      </w:pPr>
      <w:bookmarkStart w:id="308" w:name="_Toc989197"/>
      <w:r>
        <w:rPr>
          <w:rFonts w:ascii="宋体" w:eastAsia="宋体" w:hAnsi="宋体" w:cs="宋体"/>
          <w:b/>
          <w:bCs/>
          <w:szCs w:val="21"/>
        </w:rPr>
        <w:t>（1） 在建工程情况</w:t>
      </w:r>
      <w:bookmarkEnd w:id="30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径南工业区基础工程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24,973,150.51</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24,973,150.51</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年产800t特种超硬质合金智能化生产项目</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8,835,992.48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8,835,992.48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8,000,771.95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8,000,771.95</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江西精密设备安装及车间装修工程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3,411,048.88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3,411,048.88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广东翔鹭光伏超细钨丝项目研发工程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2,431,586.89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2,431,586.89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广东翔鹭合金生产线项目工程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558,894.08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558,894.08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广东翔鹭生产一部氨回收工程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481,721.94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481,721.94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288,980.12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288,980.12</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广东翔鹭粉末生产线项目工程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276,205.03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276,205.03</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广东翔鹭生产一部项目工程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235,073.34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235,073.34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481,533.52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481,533.52</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广东翔鹭设备技改工程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465,980.46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465,980.46</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江西翔鹭钨业有限公司基建工程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16,762,281.84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16,762,281.84</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大余隆鑫泰矿业有限公司窿道工程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4,209,672.10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4,209,672.10</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海德材料地下室及消防工程</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16,230,522.64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16,230,522.64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55,182,370.50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55,182,370.50</w:t>
            </w:r>
          </w:p>
        </w:tc>
      </w:tr>
    </w:tbl>
    <w:p w:rsidR="00E22F4C" w:rsidRDefault="00381575">
      <w:pPr>
        <w:keepNext/>
        <w:keepLines/>
        <w:spacing w:before="300" w:after="300" w:line="280" w:lineRule="exact"/>
        <w:outlineLvl w:val="3"/>
        <w:rPr>
          <w:rFonts w:ascii="宋体" w:eastAsia="宋体" w:hAnsi="宋体" w:cs="宋体"/>
          <w:b/>
          <w:bCs/>
          <w:szCs w:val="21"/>
        </w:rPr>
      </w:pPr>
      <w:bookmarkStart w:id="309" w:name="_Toc989198"/>
      <w:r>
        <w:rPr>
          <w:rFonts w:ascii="宋体" w:eastAsia="宋体" w:hAnsi="宋体" w:cs="宋体"/>
          <w:b/>
          <w:bCs/>
          <w:szCs w:val="21"/>
        </w:rPr>
        <w:t>（2） 重要在建工程项目本期变动情况</w:t>
      </w:r>
      <w:bookmarkEnd w:id="30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2"/>
        <w:gridCol w:w="742"/>
        <w:gridCol w:w="742"/>
        <w:gridCol w:w="742"/>
        <w:gridCol w:w="742"/>
        <w:gridCol w:w="742"/>
        <w:gridCol w:w="741"/>
        <w:gridCol w:w="741"/>
        <w:gridCol w:w="741"/>
        <w:gridCol w:w="741"/>
        <w:gridCol w:w="741"/>
        <w:gridCol w:w="741"/>
        <w:gridCol w:w="741"/>
      </w:tblGrid>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预算数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本期转入固定资产金额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本期其他减少金额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工程累计投入占预算比例</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工程进度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利息资本化累计金额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其中：本期利息资本化金额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本期利息资本化率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资金来源</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径南工业区基础工程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60,000,000.00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24,973,150.51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6,472,976.12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28,648,250.18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2,797,876.45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20,351,357.64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募股资金</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年产800t特种超硬质合金智能化生产项目</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151,922,300.00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8,000,771.95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18,593,476.42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17,758,255.89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8,835,992.48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86%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募股资金</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江西精密设备安装及车间装修工程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7,312,214.78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4,270,322.78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859,273.90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3,411,048.88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广东翔鹭光伏超细钨丝项目</w:t>
            </w:r>
            <w:r>
              <w:rPr>
                <w:rFonts w:ascii="宋体" w:eastAsia="宋体" w:hAnsi="宋体" w:cs="宋体"/>
                <w:sz w:val="18"/>
                <w:szCs w:val="18"/>
              </w:rPr>
              <w:lastRenderedPageBreak/>
              <w:t>研发工程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22,000,000.00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2,431,586.89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2,431,586.89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广东翔鹭合金生产线项目工程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2,250,000.00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558,894.08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558,894.08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广东翔鹭生产一部氨回收工程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288,980.12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4,095,516.34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3,902,774.52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481,721.94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90%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广东翔鹭粉末生产线项目工程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332,927.24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56,722.21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276,205.03</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90%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广东翔鹭生产一部项目工程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3,000,000.00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481,533.52</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12,250.00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258,710.18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235,073.34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39%</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广东翔鹭设备技改工程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465,980.46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526,980.46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江西翔鹭钨业有限公司基建工程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45,000,000.00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16,762,281.84</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1,800,113.96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18,432,674.65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129,721.15</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304,441.67</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大余隆鑫泰矿业有限公司窿道工程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4,209,672.10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392,257.36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4,601,929.46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海德材料地下室及消防工程</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360,000.00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357,435.61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357,435.61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100%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r>
      <w:tr w:rsidR="00E22F4C">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322,144,51</w:t>
            </w:r>
            <w:r>
              <w:rPr>
                <w:rFonts w:ascii="宋体" w:eastAsia="宋体" w:hAnsi="宋体" w:cs="宋体"/>
                <w:sz w:val="18"/>
                <w:szCs w:val="18"/>
              </w:rPr>
              <w:lastRenderedPageBreak/>
              <w:t>4.78</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55,182,370</w:t>
            </w:r>
            <w:r>
              <w:rPr>
                <w:rFonts w:ascii="宋体" w:eastAsia="宋体" w:hAnsi="宋体" w:cs="宋体"/>
                <w:sz w:val="18"/>
                <w:szCs w:val="18"/>
              </w:rPr>
              <w:lastRenderedPageBreak/>
              <w:t>.50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39,378,756</w:t>
            </w:r>
            <w:r>
              <w:rPr>
                <w:rFonts w:ascii="宋体" w:eastAsia="宋体" w:hAnsi="宋体" w:cs="宋体"/>
                <w:sz w:val="18"/>
                <w:szCs w:val="18"/>
              </w:rPr>
              <w:lastRenderedPageBreak/>
              <w:t>.80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75,403,007</w:t>
            </w:r>
            <w:r>
              <w:rPr>
                <w:rFonts w:ascii="宋体" w:eastAsia="宋体" w:hAnsi="宋体" w:cs="宋体"/>
                <w:sz w:val="18"/>
                <w:szCs w:val="18"/>
              </w:rPr>
              <w:lastRenderedPageBreak/>
              <w:t>.06</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2,927,597.</w:t>
            </w:r>
            <w:r>
              <w:rPr>
                <w:rFonts w:ascii="宋体" w:eastAsia="宋体" w:hAnsi="宋体" w:cs="宋体"/>
                <w:sz w:val="18"/>
                <w:szCs w:val="18"/>
              </w:rPr>
              <w:lastRenderedPageBreak/>
              <w:t>60</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16,230,522</w:t>
            </w:r>
            <w:r>
              <w:rPr>
                <w:rFonts w:ascii="宋体" w:eastAsia="宋体" w:hAnsi="宋体" w:cs="宋体"/>
                <w:sz w:val="18"/>
                <w:szCs w:val="18"/>
              </w:rPr>
              <w:lastRenderedPageBreak/>
              <w:t>.64</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20,655,799</w:t>
            </w:r>
            <w:r>
              <w:rPr>
                <w:rFonts w:ascii="宋体" w:eastAsia="宋体" w:hAnsi="宋体" w:cs="宋体"/>
                <w:sz w:val="18"/>
                <w:szCs w:val="18"/>
              </w:rPr>
              <w:lastRenderedPageBreak/>
              <w:t>.31</w:t>
            </w: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keepNext/>
        <w:keepLines/>
        <w:spacing w:before="300" w:after="300" w:line="280" w:lineRule="exact"/>
        <w:outlineLvl w:val="3"/>
        <w:rPr>
          <w:rFonts w:ascii="宋体" w:eastAsia="宋体" w:hAnsi="宋体" w:cs="宋体"/>
          <w:b/>
          <w:bCs/>
          <w:szCs w:val="21"/>
        </w:rPr>
      </w:pPr>
      <w:bookmarkStart w:id="310" w:name="_Toc989199"/>
      <w:r>
        <w:rPr>
          <w:rFonts w:ascii="宋体" w:eastAsia="宋体" w:hAnsi="宋体" w:cs="宋体"/>
          <w:b/>
          <w:bCs/>
          <w:szCs w:val="21"/>
        </w:rPr>
        <w:lastRenderedPageBreak/>
        <w:t>（3） 本期计提在建工程减值准备情况</w:t>
      </w:r>
      <w:bookmarkEnd w:id="31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本期计提金额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932202772"/>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311" w:name="_Toc989200"/>
      <w:r>
        <w:rPr>
          <w:rFonts w:ascii="宋体" w:eastAsia="宋体" w:hAnsi="宋体" w:cs="宋体"/>
          <w:b/>
          <w:bCs/>
          <w:szCs w:val="21"/>
        </w:rPr>
        <w:t>（4） 工程物资</w:t>
      </w:r>
      <w:bookmarkEnd w:id="31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工程物资</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99,488.46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99,488.46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227,772.95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227,772.95</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99,488.46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99,488.46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227,772.95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227,772.95</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905290561"/>
        <w:rPr>
          <w:sz w:val="18"/>
          <w:szCs w:val="18"/>
        </w:rPr>
      </w:pPr>
    </w:p>
    <w:p w:rsidR="00E22F4C" w:rsidRDefault="00381575">
      <w:pPr>
        <w:pStyle w:val="3"/>
        <w:spacing w:line="280" w:lineRule="exact"/>
        <w:jc w:val="left"/>
        <w:rPr>
          <w:rFonts w:ascii="宋体" w:hAnsi="宋体" w:cs="宋体"/>
          <w:b/>
          <w:bCs/>
        </w:rPr>
      </w:pPr>
      <w:bookmarkStart w:id="312" w:name="_Toc989201"/>
      <w:r>
        <w:rPr>
          <w:rFonts w:ascii="宋体" w:hAnsi="宋体" w:cs="宋体"/>
          <w:b/>
          <w:bCs/>
        </w:rPr>
        <w:t>23、生产性生物资产</w:t>
      </w:r>
      <w:bookmarkEnd w:id="312"/>
    </w:p>
    <w:p w:rsidR="00E22F4C" w:rsidRDefault="00381575">
      <w:pPr>
        <w:keepNext/>
        <w:keepLines/>
        <w:spacing w:before="300" w:after="300" w:line="280" w:lineRule="exact"/>
        <w:outlineLvl w:val="3"/>
        <w:rPr>
          <w:rFonts w:ascii="宋体" w:eastAsia="宋体" w:hAnsi="宋体" w:cs="宋体"/>
          <w:b/>
          <w:bCs/>
          <w:szCs w:val="21"/>
        </w:rPr>
      </w:pPr>
      <w:bookmarkStart w:id="313" w:name="_Toc989202"/>
      <w:r>
        <w:rPr>
          <w:rFonts w:ascii="宋体" w:eastAsia="宋体" w:hAnsi="宋体" w:cs="宋体"/>
          <w:b/>
          <w:bCs/>
          <w:szCs w:val="21"/>
        </w:rPr>
        <w:t>（1） 采用成本计量模式的生产性生物资产</w:t>
      </w:r>
      <w:bookmarkEnd w:id="31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Cs w:val="21"/>
        </w:rPr>
      </w:pPr>
      <w:bookmarkStart w:id="314" w:name="_Toc989203"/>
      <w:r>
        <w:rPr>
          <w:rFonts w:ascii="宋体" w:eastAsia="宋体" w:hAnsi="宋体" w:cs="宋体"/>
          <w:b/>
          <w:bCs/>
          <w:szCs w:val="21"/>
        </w:rPr>
        <w:t>（2） 采用公允价值计量模式的生产性生物资产</w:t>
      </w:r>
      <w:bookmarkEnd w:id="31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315" w:name="_Toc989204"/>
      <w:r>
        <w:rPr>
          <w:rFonts w:ascii="宋体" w:hAnsi="宋体" w:cs="宋体"/>
          <w:b/>
          <w:bCs/>
        </w:rPr>
        <w:t>24、油气资产</w:t>
      </w:r>
      <w:bookmarkEnd w:id="31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316" w:name="_Toc989205"/>
      <w:r>
        <w:rPr>
          <w:rFonts w:ascii="宋体" w:hAnsi="宋体" w:cs="宋体"/>
          <w:b/>
          <w:bCs/>
        </w:rPr>
        <w:t>25、使用权资产</w:t>
      </w:r>
      <w:bookmarkEnd w:id="31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房屋建筑物</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1,716,255.33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1,716,255.33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632,905.72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632,905.72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（1）租入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632,905.72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632,905.72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1,716,255.33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1,716,255.33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（1）转租赁为融资租赁</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（2）处置或报废</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1,716,255.33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1,716,255.33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632,905.72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632,905.72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二、累计折旧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1.期初余额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1,029,753.20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1,029,753.20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105,484.29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105,484.29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105,484.29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105,484.29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1,029,753.20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1,029,753.20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（1）转租赁为融资租赁</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（2）处置或报废</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1,029,753.20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1,029,753.20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（3）其它减少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105,484.29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105,484.29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527,421.43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527,421.43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686,502.13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686,502.13</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727531820"/>
        <w:rPr>
          <w:sz w:val="18"/>
          <w:szCs w:val="18"/>
        </w:rPr>
      </w:pPr>
    </w:p>
    <w:p w:rsidR="00E22F4C" w:rsidRDefault="00381575">
      <w:pPr>
        <w:pStyle w:val="3"/>
        <w:spacing w:line="280" w:lineRule="exact"/>
        <w:jc w:val="left"/>
        <w:rPr>
          <w:rFonts w:ascii="宋体" w:hAnsi="宋体" w:cs="宋体"/>
          <w:b/>
          <w:bCs/>
        </w:rPr>
      </w:pPr>
      <w:bookmarkStart w:id="317" w:name="_Toc989206"/>
      <w:r>
        <w:rPr>
          <w:rFonts w:ascii="宋体" w:hAnsi="宋体" w:cs="宋体"/>
          <w:b/>
          <w:bCs/>
        </w:rPr>
        <w:t>26、无形资产</w:t>
      </w:r>
      <w:bookmarkEnd w:id="317"/>
    </w:p>
    <w:p w:rsidR="00E22F4C" w:rsidRDefault="00381575">
      <w:pPr>
        <w:keepNext/>
        <w:keepLines/>
        <w:spacing w:before="300" w:after="300" w:line="280" w:lineRule="exact"/>
        <w:outlineLvl w:val="3"/>
        <w:rPr>
          <w:rFonts w:ascii="宋体" w:eastAsia="宋体" w:hAnsi="宋体" w:cs="宋体"/>
          <w:b/>
          <w:bCs/>
          <w:szCs w:val="21"/>
        </w:rPr>
      </w:pPr>
      <w:bookmarkStart w:id="318" w:name="_Toc989207"/>
      <w:r>
        <w:rPr>
          <w:rFonts w:ascii="宋体" w:eastAsia="宋体" w:hAnsi="宋体" w:cs="宋体"/>
          <w:b/>
          <w:bCs/>
          <w:szCs w:val="21"/>
        </w:rPr>
        <w:t>（1） 无形资产情况</w:t>
      </w:r>
      <w:bookmarkEnd w:id="31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土地使用权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专利权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非专利技术</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采矿权</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软件</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center"/>
              <w:rPr>
                <w:rFonts w:ascii="宋体" w:eastAsia="宋体" w:hAnsi="宋体" w:cs="宋体"/>
                <w:sz w:val="18"/>
                <w:szCs w:val="18"/>
              </w:rPr>
            </w:pPr>
            <w:r>
              <w:rPr>
                <w:rFonts w:ascii="宋体" w:eastAsia="宋体" w:hAnsi="宋体" w:cs="宋体"/>
                <w:sz w:val="18"/>
                <w:szCs w:val="18"/>
              </w:rPr>
              <w:t>勘探开发成本</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74,762,920.51</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195,116.76</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51,761,415.09</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3,945,723.11</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2,824,336.85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133,489,512.32</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129,721.15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129,721.15</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（1）购置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（2）内部研发</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（3）企业合并增加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（4）其他</w:t>
            </w:r>
            <w:r>
              <w:rPr>
                <w:rFonts w:ascii="宋体" w:eastAsia="宋体" w:hAnsi="宋体" w:cs="宋体"/>
                <w:sz w:val="18"/>
                <w:szCs w:val="18"/>
              </w:rPr>
              <w:lastRenderedPageBreak/>
              <w:t>增加</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129,721.15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129,721.15</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74,762,920.51</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195,116.76</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51,761,415.09</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4,075,444.26</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2,824,336.85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133,619,233.47</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二、累计摊销</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8,973,992.25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82,031.23</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5,455,460.25</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2,172,607.02</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805,422.06</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17,489,512.81</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1,532,055.72</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12,460.44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639,247.14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421,596.68</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282,433.68</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2,887,793.66</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1,532,055.72</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12,460.44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639,247.14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421,596.68</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282,433.68</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2,887,793.66</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10,506,047.97</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94,491.67</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6,094,707.39</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2,594,203.70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1,087,855.74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20,377,306.47</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64,256,872.54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100,625.09</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45,666,707.70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1,481,240.56</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1,736,481.11</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113,241,927.00</w:t>
            </w: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65,788,928.26</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113,085.53</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46,305,954.84</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1,773,116.09</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2,018,914.79</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115,999,999.51</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本期末通过公司内部研发形成的无形资产占无形资产余额的比例。</w:t>
      </w:r>
    </w:p>
    <w:p w:rsidR="00E22F4C" w:rsidRDefault="00381575">
      <w:pPr>
        <w:keepNext/>
        <w:keepLines/>
        <w:spacing w:before="300" w:after="300" w:line="280" w:lineRule="exact"/>
        <w:outlineLvl w:val="3"/>
        <w:rPr>
          <w:rFonts w:ascii="宋体" w:eastAsia="宋体" w:hAnsi="宋体" w:cs="宋体"/>
          <w:b/>
          <w:bCs/>
          <w:szCs w:val="21"/>
        </w:rPr>
      </w:pPr>
      <w:bookmarkStart w:id="319" w:name="_Toc989208"/>
      <w:r>
        <w:rPr>
          <w:rFonts w:ascii="宋体" w:eastAsia="宋体" w:hAnsi="宋体" w:cs="宋体"/>
          <w:b/>
          <w:bCs/>
          <w:szCs w:val="21"/>
        </w:rPr>
        <w:lastRenderedPageBreak/>
        <w:t>（2） 未办妥产权证书的土地使用权情况</w:t>
      </w:r>
      <w:bookmarkEnd w:id="31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未办妥产权证书的原因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9277445"/>
        <w:rPr>
          <w:sz w:val="18"/>
          <w:szCs w:val="18"/>
        </w:rPr>
      </w:pPr>
    </w:p>
    <w:p w:rsidR="00E22F4C" w:rsidRDefault="00381575">
      <w:pPr>
        <w:pStyle w:val="3"/>
        <w:spacing w:line="280" w:lineRule="exact"/>
        <w:jc w:val="left"/>
        <w:rPr>
          <w:rFonts w:ascii="宋体" w:hAnsi="宋体" w:cs="宋体"/>
          <w:b/>
          <w:bCs/>
        </w:rPr>
      </w:pPr>
      <w:bookmarkStart w:id="320" w:name="_Toc989209"/>
      <w:r>
        <w:rPr>
          <w:rFonts w:ascii="宋体" w:hAnsi="宋体" w:cs="宋体"/>
          <w:b/>
          <w:bCs/>
        </w:rPr>
        <w:t>27、开发支出</w:t>
      </w:r>
      <w:bookmarkEnd w:id="32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321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321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本期减少金额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内部开发支出</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确认为无形资产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转入当期损益</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611211317"/>
        <w:rPr>
          <w:sz w:val="18"/>
          <w:szCs w:val="18"/>
        </w:rPr>
      </w:pPr>
    </w:p>
    <w:p w:rsidR="00E22F4C" w:rsidRDefault="00381575">
      <w:pPr>
        <w:pStyle w:val="3"/>
        <w:spacing w:line="280" w:lineRule="exact"/>
        <w:jc w:val="left"/>
        <w:rPr>
          <w:rFonts w:ascii="宋体" w:hAnsi="宋体" w:cs="宋体"/>
          <w:b/>
          <w:bCs/>
        </w:rPr>
      </w:pPr>
      <w:bookmarkStart w:id="321" w:name="_Toc989210"/>
      <w:r>
        <w:rPr>
          <w:rFonts w:ascii="宋体" w:hAnsi="宋体" w:cs="宋体"/>
          <w:b/>
          <w:bCs/>
        </w:rPr>
        <w:t>28、商誉</w:t>
      </w:r>
      <w:bookmarkEnd w:id="321"/>
    </w:p>
    <w:p w:rsidR="00E22F4C" w:rsidRDefault="00381575">
      <w:pPr>
        <w:keepNext/>
        <w:keepLines/>
        <w:spacing w:before="300" w:after="300" w:line="280" w:lineRule="exact"/>
        <w:outlineLvl w:val="3"/>
        <w:rPr>
          <w:rFonts w:ascii="宋体" w:eastAsia="宋体" w:hAnsi="宋体" w:cs="宋体"/>
          <w:b/>
          <w:bCs/>
          <w:szCs w:val="21"/>
        </w:rPr>
      </w:pPr>
      <w:bookmarkStart w:id="322" w:name="_Toc989211"/>
      <w:r>
        <w:rPr>
          <w:rFonts w:ascii="宋体" w:eastAsia="宋体" w:hAnsi="宋体" w:cs="宋体"/>
          <w:b/>
          <w:bCs/>
          <w:szCs w:val="21"/>
        </w:rPr>
        <w:t>（1） 商誉账面原值</w:t>
      </w:r>
      <w:bookmarkEnd w:id="32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企业合并形成的</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49,212,998.16</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49,212,998.16</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大余县新城海德材料有限公司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10,876.04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10,876.04</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49,223,874.20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49,223,874.20</w:t>
            </w:r>
          </w:p>
        </w:tc>
      </w:tr>
    </w:tbl>
    <w:p w:rsidR="00E22F4C" w:rsidRDefault="00381575">
      <w:pPr>
        <w:keepNext/>
        <w:keepLines/>
        <w:spacing w:before="300" w:after="300" w:line="280" w:lineRule="exact"/>
        <w:outlineLvl w:val="3"/>
        <w:rPr>
          <w:rFonts w:ascii="宋体" w:eastAsia="宋体" w:hAnsi="宋体" w:cs="宋体"/>
          <w:b/>
          <w:bCs/>
          <w:szCs w:val="21"/>
        </w:rPr>
      </w:pPr>
      <w:bookmarkStart w:id="323" w:name="_Toc989212"/>
      <w:r>
        <w:rPr>
          <w:rFonts w:ascii="宋体" w:eastAsia="宋体" w:hAnsi="宋体" w:cs="宋体"/>
          <w:b/>
          <w:bCs/>
          <w:szCs w:val="21"/>
        </w:rPr>
        <w:t>（2） 商誉减值准备</w:t>
      </w:r>
      <w:bookmarkEnd w:id="32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2,322,795.00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18,088,241.44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20,411,036.44</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大余县新城海德材料有限公司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2,322,795.00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18,088,241.44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20,411,036.44</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商誉所在资产组或资产组组合的相关信息</w:t>
      </w:r>
    </w:p>
    <w:p w:rsidR="00E22F4C" w:rsidRDefault="00E22F4C">
      <w:pPr>
        <w:pStyle w:val="a4"/>
        <w:spacing w:before="120" w:beforeAutospacing="0" w:after="120" w:afterAutospacing="0" w:line="500" w:lineRule="atLeast"/>
        <w:ind w:firstLine="308"/>
        <w:jc w:val="both"/>
        <w:divId w:val="570699053"/>
        <w:rPr>
          <w:rFonts w:ascii="Times New Roman" w:hAnsi="Times New Roman" w:cs="Times New Roman"/>
          <w:sz w:val="21"/>
          <w:szCs w:val="21"/>
        </w:rPr>
      </w:pPr>
      <w:r>
        <w:rPr>
          <w:rFonts w:cs="Times New Roman" w:hint="eastAsia"/>
          <w:sz w:val="21"/>
          <w:szCs w:val="21"/>
        </w:rPr>
        <w:lastRenderedPageBreak/>
        <w:t>商誉的减值测试过程、参数及商誉减值损失确认方法：</w:t>
      </w:r>
    </w:p>
    <w:p w:rsidR="00E22F4C" w:rsidRDefault="00E22F4C">
      <w:pPr>
        <w:pStyle w:val="a4"/>
        <w:spacing w:before="120" w:beforeAutospacing="0" w:after="120" w:afterAutospacing="0" w:line="500" w:lineRule="atLeast"/>
        <w:ind w:firstLine="308"/>
        <w:jc w:val="both"/>
        <w:divId w:val="570699053"/>
        <w:rPr>
          <w:rFonts w:ascii="Times New Roman" w:hAnsi="Times New Roman" w:cs="Times New Roman"/>
          <w:sz w:val="21"/>
          <w:szCs w:val="21"/>
        </w:rPr>
      </w:pPr>
      <w:r>
        <w:rPr>
          <w:rFonts w:cs="Times New Roman" w:hint="eastAsia"/>
          <w:sz w:val="21"/>
          <w:szCs w:val="21"/>
        </w:rPr>
        <w:t>公司期末对与商誉相关的各资产组进行了减值测试，首先将该商誉及归属于少数股东权益的商誉包括在内，调整各资产组的账面价值，然后将调整后的各资产组账面价值与其可收回金额进行比较，以确定各资产组（包括商誉）是否发生了减值。</w:t>
      </w:r>
    </w:p>
    <w:p w:rsidR="00E22F4C" w:rsidRDefault="00E22F4C">
      <w:pPr>
        <w:pStyle w:val="a4"/>
        <w:spacing w:before="120" w:beforeAutospacing="0" w:after="120" w:afterAutospacing="0" w:line="500" w:lineRule="atLeast"/>
        <w:ind w:firstLine="308"/>
        <w:jc w:val="both"/>
        <w:divId w:val="570699053"/>
        <w:rPr>
          <w:rFonts w:ascii="Times New Roman" w:hAnsi="Times New Roman" w:cs="Times New Roman"/>
          <w:sz w:val="21"/>
          <w:szCs w:val="21"/>
        </w:rPr>
      </w:pPr>
      <w:r>
        <w:rPr>
          <w:rFonts w:cs="Times New Roman" w:hint="eastAsia"/>
          <w:sz w:val="21"/>
          <w:szCs w:val="21"/>
        </w:rPr>
        <w:t>江西翔鹭钨业有限公司及其子公司资产组的可收回金额采用收益法预测现金流量现值：采用未来现金流量折现方法的主要假设：预计江西翔鹭钨业有限公司及其子公司未来</w:t>
      </w:r>
      <w:r>
        <w:rPr>
          <w:rFonts w:ascii="Times New Roman" w:hAnsi="Times New Roman" w:cs="Times New Roman"/>
          <w:sz w:val="21"/>
          <w:szCs w:val="21"/>
        </w:rPr>
        <w:t>5</w:t>
      </w:r>
      <w:r>
        <w:rPr>
          <w:rFonts w:cs="Times New Roman" w:hint="eastAsia"/>
          <w:sz w:val="21"/>
          <w:szCs w:val="21"/>
        </w:rPr>
        <w:t>年钨产品收入复合增长率</w:t>
      </w:r>
      <w:r>
        <w:rPr>
          <w:rFonts w:ascii="Times New Roman" w:hAnsi="Times New Roman" w:cs="Times New Roman"/>
          <w:sz w:val="21"/>
          <w:szCs w:val="21"/>
        </w:rPr>
        <w:t>12.23%</w:t>
      </w:r>
      <w:r>
        <w:rPr>
          <w:rFonts w:cs="Times New Roman" w:hint="eastAsia"/>
          <w:sz w:val="21"/>
          <w:szCs w:val="21"/>
        </w:rPr>
        <w:t>，稳定年份增长率</w:t>
      </w:r>
      <w:r>
        <w:rPr>
          <w:rFonts w:ascii="Times New Roman" w:hAnsi="Times New Roman" w:cs="Times New Roman"/>
          <w:sz w:val="21"/>
          <w:szCs w:val="21"/>
        </w:rPr>
        <w:t>0%</w:t>
      </w:r>
      <w:r>
        <w:rPr>
          <w:rFonts w:cs="Times New Roman" w:hint="eastAsia"/>
          <w:sz w:val="21"/>
          <w:szCs w:val="21"/>
        </w:rPr>
        <w:t>，息税前折现率</w:t>
      </w:r>
      <w:r>
        <w:rPr>
          <w:rFonts w:ascii="Times New Roman" w:hAnsi="Times New Roman" w:cs="Times New Roman"/>
          <w:sz w:val="21"/>
          <w:szCs w:val="21"/>
        </w:rPr>
        <w:t>11.20%</w:t>
      </w:r>
      <w:r>
        <w:rPr>
          <w:rFonts w:cs="Times New Roman" w:hint="eastAsia"/>
          <w:sz w:val="21"/>
          <w:szCs w:val="21"/>
        </w:rPr>
        <w:t>，测算资产组的可回收金额。经预测显示资产组可回收金额小于江西翔鹭钨业有限公司及其子公司资产组账面价值与商誉账面价值之和，故本期江西翔鹭钨业有限公司及其子公司的商誉需计提资产减值准备</w:t>
      </w:r>
      <w:r>
        <w:rPr>
          <w:rFonts w:ascii="Times New Roman" w:hAnsi="Times New Roman" w:cs="Times New Roman"/>
        </w:rPr>
        <w:t>18,088,241.44</w:t>
      </w:r>
      <w:r>
        <w:rPr>
          <w:rFonts w:cs="Times New Roman" w:hint="eastAsia"/>
          <w:sz w:val="21"/>
          <w:szCs w:val="21"/>
        </w:rPr>
        <w:t>元。</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说明商誉减值测试过程、关键参数（如预计未来现金流量现值时的预测期增长率、稳定期增长率、利润率、折现率、预测期等）及商誉减值损失的确认方法：</w:t>
      </w:r>
    </w:p>
    <w:p w:rsidR="00E22F4C" w:rsidRDefault="00E22F4C">
      <w:pPr>
        <w:divId w:val="1584679894"/>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商誉减值测试的影响</w:t>
      </w:r>
    </w:p>
    <w:p w:rsidR="00E22F4C" w:rsidRDefault="00E22F4C">
      <w:pPr>
        <w:divId w:val="930040993"/>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651563336"/>
        <w:rPr>
          <w:sz w:val="18"/>
          <w:szCs w:val="18"/>
        </w:rPr>
      </w:pPr>
    </w:p>
    <w:p w:rsidR="00E22F4C" w:rsidRDefault="00381575">
      <w:pPr>
        <w:pStyle w:val="3"/>
        <w:spacing w:line="280" w:lineRule="exact"/>
        <w:jc w:val="left"/>
        <w:rPr>
          <w:rFonts w:ascii="宋体" w:hAnsi="宋体" w:cs="宋体"/>
          <w:b/>
          <w:bCs/>
        </w:rPr>
      </w:pPr>
      <w:bookmarkStart w:id="324" w:name="_Toc989213"/>
      <w:r>
        <w:rPr>
          <w:rFonts w:ascii="宋体" w:hAnsi="宋体" w:cs="宋体"/>
          <w:b/>
          <w:bCs/>
        </w:rPr>
        <w:t>29、长期待摊费用</w:t>
      </w:r>
      <w:bookmarkEnd w:id="32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本期摊销金额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其他减少金额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江西翔鹭绿化项目</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4,943,950.15</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605,381.64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4,338,568.51</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径南工业区厂区装修项目</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5,814,874.09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1,275,015.38</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4,539,858.71</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零碎工程</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3,939,577.57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1,086,335.54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2,853,242.03</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江西厂区装修项目</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410,811.72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104,888.16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305,923.56</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东莞厂房装修项目</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363,982.41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363,982.41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机房基建工程</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559,577.76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287,875.49</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271,702.27</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广东翔鹭厂区装修项目</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1,866,387.46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307,151.16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1,559,236.30</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铁苍寨场地租金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284,641.87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11,049.96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273,591.91</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18,183,803.03</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4,041,679.74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14,142,123.29</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603880272"/>
        <w:rPr>
          <w:sz w:val="18"/>
          <w:szCs w:val="18"/>
        </w:rPr>
      </w:pPr>
    </w:p>
    <w:p w:rsidR="00E22F4C" w:rsidRDefault="00381575">
      <w:pPr>
        <w:pStyle w:val="3"/>
        <w:spacing w:line="280" w:lineRule="exact"/>
        <w:jc w:val="left"/>
        <w:rPr>
          <w:rFonts w:ascii="宋体" w:hAnsi="宋体" w:cs="宋体"/>
          <w:b/>
          <w:bCs/>
        </w:rPr>
      </w:pPr>
      <w:bookmarkStart w:id="325" w:name="_Toc989214"/>
      <w:r>
        <w:rPr>
          <w:rFonts w:ascii="宋体" w:hAnsi="宋体" w:cs="宋体"/>
          <w:b/>
          <w:bCs/>
        </w:rPr>
        <w:lastRenderedPageBreak/>
        <w:t>30、递延所得税资产/递延所得税负债</w:t>
      </w:r>
      <w:bookmarkEnd w:id="325"/>
    </w:p>
    <w:p w:rsidR="00E22F4C" w:rsidRDefault="00381575">
      <w:pPr>
        <w:keepNext/>
        <w:keepLines/>
        <w:spacing w:before="300" w:after="300" w:line="280" w:lineRule="exact"/>
        <w:outlineLvl w:val="3"/>
        <w:rPr>
          <w:rFonts w:ascii="宋体" w:eastAsia="宋体" w:hAnsi="宋体" w:cs="宋体"/>
          <w:b/>
          <w:bCs/>
          <w:szCs w:val="21"/>
        </w:rPr>
      </w:pPr>
      <w:bookmarkStart w:id="326" w:name="_Toc989215"/>
      <w:r>
        <w:rPr>
          <w:rFonts w:ascii="宋体" w:eastAsia="宋体" w:hAnsi="宋体" w:cs="宋体"/>
          <w:b/>
          <w:bCs/>
          <w:szCs w:val="21"/>
        </w:rPr>
        <w:t>（1） 未经抵销的递延所得税资产</w:t>
      </w:r>
      <w:bookmarkEnd w:id="32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资产减值准备</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38,153,910.47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3,361,294.92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17,051,771.83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2,900,637.88</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内部交易未实现利润</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1,383,124.63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277,346.39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6,829,632.61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1,218,181.49</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可抵扣亏损</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23,777,159.17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4,785,910.42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22,857,592.58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5,596,422.82</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股份支付</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1,301,801.67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195,270.25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1,902,246.67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285,337.00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公允价值变动</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819.00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480,612.73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120,153.18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65,102,068.67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8,740,794.16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48,641,243.69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10,000,579.19</w:t>
            </w:r>
          </w:p>
        </w:tc>
      </w:tr>
    </w:tbl>
    <w:p w:rsidR="00E22F4C" w:rsidRDefault="00381575">
      <w:pPr>
        <w:keepNext/>
        <w:keepLines/>
        <w:spacing w:before="300" w:after="300" w:line="280" w:lineRule="exact"/>
        <w:outlineLvl w:val="3"/>
        <w:rPr>
          <w:rFonts w:ascii="宋体" w:eastAsia="宋体" w:hAnsi="宋体" w:cs="宋体"/>
          <w:b/>
          <w:bCs/>
          <w:szCs w:val="21"/>
        </w:rPr>
      </w:pPr>
      <w:bookmarkStart w:id="327" w:name="_Toc989216"/>
      <w:r>
        <w:rPr>
          <w:rFonts w:ascii="宋体" w:eastAsia="宋体" w:hAnsi="宋体" w:cs="宋体"/>
          <w:b/>
          <w:bCs/>
          <w:szCs w:val="21"/>
        </w:rPr>
        <w:t>（2） 未经抵销的递延所得税负债</w:t>
      </w:r>
      <w:bookmarkEnd w:id="32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递延所得税负债</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非同一控制企业合并资产评估增值</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710,252.80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106,537.92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713,500.52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107,155.04</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内部交易未实现利润</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2,170,827.03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542,706.76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714,366.91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174,631.47</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公允价值变动</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75,639.60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2,881,079.83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649,244.68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1,932,131.43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357,426.11</w:t>
            </w:r>
          </w:p>
        </w:tc>
      </w:tr>
    </w:tbl>
    <w:p w:rsidR="00E22F4C" w:rsidRDefault="00381575">
      <w:pPr>
        <w:keepNext/>
        <w:keepLines/>
        <w:spacing w:before="300" w:after="300" w:line="280" w:lineRule="exact"/>
        <w:outlineLvl w:val="3"/>
        <w:rPr>
          <w:rFonts w:ascii="宋体" w:eastAsia="宋体" w:hAnsi="宋体" w:cs="宋体"/>
          <w:b/>
          <w:bCs/>
          <w:szCs w:val="21"/>
        </w:rPr>
      </w:pPr>
      <w:bookmarkStart w:id="328" w:name="_Toc989217"/>
      <w:r>
        <w:rPr>
          <w:rFonts w:ascii="宋体" w:eastAsia="宋体" w:hAnsi="宋体" w:cs="宋体"/>
          <w:b/>
          <w:bCs/>
          <w:szCs w:val="21"/>
        </w:rPr>
        <w:t>（3） 以抵销后净额列示的递延所得税资产或负债</w:t>
      </w:r>
      <w:bookmarkEnd w:id="32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递延所得税资产和负债期末互抵金额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抵销后递延所得税资产或负债期末余额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递延所得税资产和负债期初互抵金额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抵销后递延所得税资产或负债期初余额</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8,740,794.16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10,000,579.19</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649,244.68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357,426.11</w:t>
            </w:r>
          </w:p>
        </w:tc>
      </w:tr>
    </w:tbl>
    <w:p w:rsidR="00E22F4C" w:rsidRDefault="00381575">
      <w:pPr>
        <w:keepNext/>
        <w:keepLines/>
        <w:spacing w:before="300" w:after="300" w:line="280" w:lineRule="exact"/>
        <w:outlineLvl w:val="3"/>
        <w:rPr>
          <w:rFonts w:ascii="宋体" w:eastAsia="宋体" w:hAnsi="宋体" w:cs="宋体"/>
          <w:b/>
          <w:bCs/>
          <w:szCs w:val="21"/>
        </w:rPr>
      </w:pPr>
      <w:bookmarkStart w:id="329" w:name="_Toc989218"/>
      <w:r>
        <w:rPr>
          <w:rFonts w:ascii="宋体" w:eastAsia="宋体" w:hAnsi="宋体" w:cs="宋体"/>
          <w:b/>
          <w:bCs/>
          <w:szCs w:val="21"/>
        </w:rPr>
        <w:t>（4） 未确认递延所得税资产明细</w:t>
      </w:r>
      <w:bookmarkEnd w:id="32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可抵扣亏损</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67,827,177.45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36,470,580.48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资产减值准备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2,206,730.34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2,502,207.18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70,033,907.79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38,972,787.66</w:t>
            </w:r>
          </w:p>
        </w:tc>
      </w:tr>
    </w:tbl>
    <w:p w:rsidR="00E22F4C" w:rsidRDefault="00381575">
      <w:pPr>
        <w:keepNext/>
        <w:keepLines/>
        <w:spacing w:before="300" w:after="300" w:line="280" w:lineRule="exact"/>
        <w:outlineLvl w:val="3"/>
        <w:rPr>
          <w:rFonts w:ascii="宋体" w:eastAsia="宋体" w:hAnsi="宋体" w:cs="宋体"/>
          <w:b/>
          <w:bCs/>
          <w:szCs w:val="21"/>
        </w:rPr>
      </w:pPr>
      <w:bookmarkStart w:id="330" w:name="_Toc989219"/>
      <w:r>
        <w:rPr>
          <w:rFonts w:ascii="宋体" w:eastAsia="宋体" w:hAnsi="宋体" w:cs="宋体"/>
          <w:b/>
          <w:bCs/>
          <w:szCs w:val="21"/>
        </w:rPr>
        <w:t>（5） 未确认递延所得税资产的可抵扣亏损将于以下年度到期</w:t>
      </w:r>
      <w:bookmarkEnd w:id="33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年份</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1,182,283.05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2023年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6,866,486.59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5,463,243.18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9,926,299.90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8,462,438.33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2025年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12,792,962.09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10,548,118.79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2026年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22,326,944.70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10,814,497.13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2027年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15,914,484.17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67,827,177.45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36,470,580.48</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88158694"/>
        <w:rPr>
          <w:sz w:val="18"/>
          <w:szCs w:val="18"/>
        </w:rPr>
      </w:pPr>
    </w:p>
    <w:p w:rsidR="00E22F4C" w:rsidRDefault="00381575">
      <w:pPr>
        <w:pStyle w:val="3"/>
        <w:spacing w:line="280" w:lineRule="exact"/>
        <w:jc w:val="left"/>
        <w:rPr>
          <w:rFonts w:ascii="宋体" w:hAnsi="宋体" w:cs="宋体"/>
          <w:b/>
          <w:bCs/>
        </w:rPr>
      </w:pPr>
      <w:bookmarkStart w:id="331" w:name="_Toc989220"/>
      <w:r>
        <w:rPr>
          <w:rFonts w:ascii="宋体" w:hAnsi="宋体" w:cs="宋体"/>
          <w:b/>
          <w:bCs/>
        </w:rPr>
        <w:t>31、其他非流动资产</w:t>
      </w:r>
      <w:bookmarkEnd w:id="33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工程设备款</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13,067,982.85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13,067,982.85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12,371,197.82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12,371,197.82</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13,067,982.85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13,067,982.85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12,371,197.82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12,371,197.82</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928228801"/>
        <w:rPr>
          <w:sz w:val="18"/>
          <w:szCs w:val="18"/>
        </w:rPr>
      </w:pPr>
    </w:p>
    <w:p w:rsidR="00E22F4C" w:rsidRDefault="00381575">
      <w:pPr>
        <w:pStyle w:val="3"/>
        <w:spacing w:line="280" w:lineRule="exact"/>
        <w:jc w:val="left"/>
        <w:rPr>
          <w:rFonts w:ascii="宋体" w:hAnsi="宋体" w:cs="宋体"/>
          <w:b/>
          <w:bCs/>
        </w:rPr>
      </w:pPr>
      <w:bookmarkStart w:id="332" w:name="_Toc989221"/>
      <w:r>
        <w:rPr>
          <w:rFonts w:ascii="宋体" w:hAnsi="宋体" w:cs="宋体"/>
          <w:b/>
          <w:bCs/>
        </w:rPr>
        <w:t>32、短期借款</w:t>
      </w:r>
      <w:bookmarkEnd w:id="332"/>
    </w:p>
    <w:p w:rsidR="00E22F4C" w:rsidRDefault="00381575">
      <w:pPr>
        <w:keepNext/>
        <w:keepLines/>
        <w:spacing w:before="300" w:after="300" w:line="280" w:lineRule="exact"/>
        <w:outlineLvl w:val="3"/>
        <w:rPr>
          <w:rFonts w:ascii="宋体" w:eastAsia="宋体" w:hAnsi="宋体" w:cs="宋体"/>
          <w:b/>
          <w:bCs/>
          <w:szCs w:val="21"/>
        </w:rPr>
      </w:pPr>
      <w:bookmarkStart w:id="333" w:name="_Toc989222"/>
      <w:r>
        <w:rPr>
          <w:rFonts w:ascii="宋体" w:eastAsia="宋体" w:hAnsi="宋体" w:cs="宋体"/>
          <w:b/>
          <w:bCs/>
          <w:szCs w:val="21"/>
        </w:rPr>
        <w:t>（1） 短期借款分类</w:t>
      </w:r>
      <w:bookmarkEnd w:id="33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抵押借款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208,755,000.00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191,490,000.00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保证借款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189,820,000.00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181,820,000.00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12,500,000.00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应计利息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473,731.97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482,836.39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399,048,731.97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386,292,836.39</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短期借款分类的说明：</w:t>
      </w:r>
    </w:p>
    <w:p w:rsidR="00E22F4C" w:rsidRDefault="00E22F4C">
      <w:pPr>
        <w:divId w:val="1760591267"/>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334" w:name="_Toc989223"/>
      <w:r>
        <w:rPr>
          <w:rFonts w:ascii="宋体" w:eastAsia="宋体" w:hAnsi="宋体" w:cs="宋体"/>
          <w:b/>
          <w:bCs/>
          <w:szCs w:val="21"/>
        </w:rPr>
        <w:t>（2） 已逾期未偿还的短期借款情况</w:t>
      </w:r>
      <w:bookmarkEnd w:id="334"/>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本期末已逾期未偿还的短期借款总额为元，其中重要的已逾期未偿还的短期借款情况如下：</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借款单位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借款利率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逾期时间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逾期利率</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7679529"/>
        <w:rPr>
          <w:sz w:val="18"/>
          <w:szCs w:val="18"/>
        </w:rPr>
      </w:pPr>
    </w:p>
    <w:p w:rsidR="00E22F4C" w:rsidRDefault="00381575">
      <w:pPr>
        <w:pStyle w:val="3"/>
        <w:spacing w:line="280" w:lineRule="exact"/>
        <w:jc w:val="left"/>
        <w:rPr>
          <w:rFonts w:ascii="宋体" w:hAnsi="宋体" w:cs="宋体"/>
          <w:b/>
          <w:bCs/>
        </w:rPr>
      </w:pPr>
      <w:bookmarkStart w:id="335" w:name="_Toc989224"/>
      <w:r>
        <w:rPr>
          <w:rFonts w:ascii="宋体" w:hAnsi="宋体" w:cs="宋体"/>
          <w:b/>
          <w:bCs/>
        </w:rPr>
        <w:lastRenderedPageBreak/>
        <w:t>33、交易性金融负债</w:t>
      </w:r>
      <w:bookmarkEnd w:id="33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指定为以公允价值计量且其变动计入当期损益的金融负债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远期结售汇合约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875456988"/>
        <w:rPr>
          <w:sz w:val="18"/>
          <w:szCs w:val="18"/>
        </w:rPr>
      </w:pPr>
    </w:p>
    <w:p w:rsidR="00E22F4C" w:rsidRDefault="00381575">
      <w:pPr>
        <w:pStyle w:val="3"/>
        <w:spacing w:line="280" w:lineRule="exact"/>
        <w:jc w:val="left"/>
        <w:rPr>
          <w:rFonts w:ascii="宋体" w:hAnsi="宋体" w:cs="宋体"/>
          <w:b/>
          <w:bCs/>
        </w:rPr>
      </w:pPr>
      <w:bookmarkStart w:id="336" w:name="_Toc989225"/>
      <w:r>
        <w:rPr>
          <w:rFonts w:ascii="宋体" w:hAnsi="宋体" w:cs="宋体"/>
          <w:b/>
          <w:bCs/>
        </w:rPr>
        <w:t>34、衍生金融负债</w:t>
      </w:r>
      <w:bookmarkEnd w:id="33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732263423"/>
        <w:rPr>
          <w:sz w:val="18"/>
          <w:szCs w:val="18"/>
        </w:rPr>
      </w:pPr>
    </w:p>
    <w:p w:rsidR="00E22F4C" w:rsidRDefault="00381575">
      <w:pPr>
        <w:pStyle w:val="3"/>
        <w:spacing w:line="280" w:lineRule="exact"/>
        <w:jc w:val="left"/>
        <w:rPr>
          <w:rFonts w:ascii="宋体" w:hAnsi="宋体" w:cs="宋体"/>
          <w:b/>
          <w:bCs/>
        </w:rPr>
      </w:pPr>
      <w:bookmarkStart w:id="337" w:name="_Toc989226"/>
      <w:r>
        <w:rPr>
          <w:rFonts w:ascii="宋体" w:hAnsi="宋体" w:cs="宋体"/>
          <w:b/>
          <w:bCs/>
        </w:rPr>
        <w:t>35、应付票据</w:t>
      </w:r>
      <w:bookmarkEnd w:id="33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种类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277,710,512.98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378,917,235.98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277,710,512.98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378,917,235.98</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本期末已到期未支付的应付票据总额为元。</w:t>
      </w:r>
    </w:p>
    <w:p w:rsidR="00E22F4C" w:rsidRDefault="00381575">
      <w:pPr>
        <w:pStyle w:val="3"/>
        <w:spacing w:line="280" w:lineRule="exact"/>
        <w:jc w:val="left"/>
        <w:rPr>
          <w:rFonts w:ascii="宋体" w:hAnsi="宋体" w:cs="宋体"/>
          <w:b/>
          <w:bCs/>
        </w:rPr>
      </w:pPr>
      <w:bookmarkStart w:id="338" w:name="_Toc989227"/>
      <w:r>
        <w:rPr>
          <w:rFonts w:ascii="宋体" w:hAnsi="宋体" w:cs="宋体"/>
          <w:b/>
          <w:bCs/>
        </w:rPr>
        <w:t>36、应付账款</w:t>
      </w:r>
      <w:bookmarkEnd w:id="338"/>
    </w:p>
    <w:p w:rsidR="00E22F4C" w:rsidRDefault="00381575">
      <w:pPr>
        <w:keepNext/>
        <w:keepLines/>
        <w:spacing w:before="300" w:after="300" w:line="280" w:lineRule="exact"/>
        <w:outlineLvl w:val="3"/>
        <w:rPr>
          <w:rFonts w:ascii="宋体" w:eastAsia="宋体" w:hAnsi="宋体" w:cs="宋体"/>
          <w:b/>
          <w:bCs/>
          <w:sz w:val="18"/>
          <w:szCs w:val="18"/>
        </w:rPr>
      </w:pPr>
      <w:bookmarkStart w:id="339" w:name="_Toc989228"/>
      <w:r>
        <w:rPr>
          <w:rFonts w:ascii="宋体" w:eastAsia="宋体" w:hAnsi="宋体" w:cs="宋体"/>
          <w:b/>
          <w:bCs/>
          <w:sz w:val="18"/>
          <w:szCs w:val="18"/>
        </w:rPr>
        <w:t>（1） 应付账款列示</w:t>
      </w:r>
      <w:bookmarkEnd w:id="33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32,898,054.35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57,016,281.92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1-2年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444,821.04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2,625,764.09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2-3年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1,987,782.08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3,316,575.36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3年以上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6,802,022.35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4,585,700.88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42,132,679.82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67,544,322.25</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340" w:name="_Toc989229"/>
      <w:r>
        <w:rPr>
          <w:rFonts w:ascii="宋体" w:eastAsia="宋体" w:hAnsi="宋体" w:cs="宋体"/>
          <w:b/>
          <w:bCs/>
          <w:sz w:val="18"/>
          <w:szCs w:val="18"/>
        </w:rPr>
        <w:t>（2） 账龄超过1年的重要应付账款</w:t>
      </w:r>
      <w:bookmarkEnd w:id="34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638297295"/>
        <w:rPr>
          <w:sz w:val="18"/>
          <w:szCs w:val="18"/>
        </w:rPr>
      </w:pPr>
    </w:p>
    <w:p w:rsidR="00E22F4C" w:rsidRDefault="00381575">
      <w:pPr>
        <w:pStyle w:val="3"/>
        <w:spacing w:line="280" w:lineRule="exact"/>
        <w:jc w:val="left"/>
        <w:rPr>
          <w:rFonts w:ascii="宋体" w:hAnsi="宋体" w:cs="宋体"/>
          <w:b/>
          <w:bCs/>
        </w:rPr>
      </w:pPr>
      <w:bookmarkStart w:id="341" w:name="_Toc989230"/>
      <w:r>
        <w:rPr>
          <w:rFonts w:ascii="宋体" w:hAnsi="宋体" w:cs="宋体"/>
          <w:b/>
          <w:bCs/>
        </w:rPr>
        <w:t>37、预收款项</w:t>
      </w:r>
      <w:bookmarkEnd w:id="341"/>
    </w:p>
    <w:p w:rsidR="00E22F4C" w:rsidRDefault="00381575">
      <w:pPr>
        <w:keepNext/>
        <w:keepLines/>
        <w:spacing w:before="300" w:after="300" w:line="280" w:lineRule="exact"/>
        <w:outlineLvl w:val="3"/>
        <w:rPr>
          <w:rFonts w:ascii="宋体" w:eastAsia="宋体" w:hAnsi="宋体" w:cs="宋体"/>
          <w:b/>
          <w:bCs/>
          <w:sz w:val="18"/>
          <w:szCs w:val="18"/>
        </w:rPr>
      </w:pPr>
      <w:bookmarkStart w:id="342" w:name="_Toc989231"/>
      <w:r>
        <w:rPr>
          <w:rFonts w:ascii="宋体" w:eastAsia="宋体" w:hAnsi="宋体" w:cs="宋体"/>
          <w:b/>
          <w:bCs/>
          <w:sz w:val="18"/>
          <w:szCs w:val="18"/>
        </w:rPr>
        <w:t>（1） 预收款项列示</w:t>
      </w:r>
      <w:bookmarkEnd w:id="34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343" w:name="_Toc989232"/>
      <w:r>
        <w:rPr>
          <w:rFonts w:ascii="宋体" w:eastAsia="宋体" w:hAnsi="宋体" w:cs="宋体"/>
          <w:b/>
          <w:bCs/>
          <w:sz w:val="18"/>
          <w:szCs w:val="18"/>
        </w:rPr>
        <w:t>（2） 账龄超过1年的重要预收款项</w:t>
      </w:r>
      <w:bookmarkEnd w:id="34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bl>
    <w:p w:rsidR="00E22F4C" w:rsidRDefault="00381575">
      <w:pPr>
        <w:pStyle w:val="3"/>
        <w:spacing w:line="280" w:lineRule="exact"/>
        <w:jc w:val="left"/>
        <w:rPr>
          <w:rFonts w:ascii="宋体" w:hAnsi="宋体" w:cs="宋体"/>
          <w:b/>
          <w:bCs/>
        </w:rPr>
      </w:pPr>
      <w:bookmarkStart w:id="344" w:name="_Toc989233"/>
      <w:r>
        <w:rPr>
          <w:rFonts w:ascii="宋体" w:hAnsi="宋体" w:cs="宋体"/>
          <w:b/>
          <w:bCs/>
        </w:rPr>
        <w:t>38、合同负债</w:t>
      </w:r>
      <w:bookmarkEnd w:id="34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958,658.40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6,218,404.56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1-2年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6,988.46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18,253.10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2-3年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18,253.10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55,513.90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3-4年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21,589.12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10,573.01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4-5年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10,573.01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1,016,062.09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6,302,744.57</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报告期内账面价值发生重大变动的金额和原因</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20"/>
        <w:gridCol w:w="820"/>
        <w:gridCol w:w="7999"/>
      </w:tblGrid>
      <w:tr w:rsidR="00E22F4C">
        <w:trPr>
          <w:trHeight w:val="240"/>
        </w:trPr>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变动金额</w:t>
            </w:r>
          </w:p>
        </w:tc>
        <w:tc>
          <w:tcPr>
            <w:tcW w:w="800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变动原因</w:t>
            </w:r>
          </w:p>
        </w:tc>
      </w:tr>
    </w:tbl>
    <w:p w:rsidR="00E22F4C" w:rsidRDefault="00381575">
      <w:pPr>
        <w:pStyle w:val="3"/>
        <w:spacing w:line="280" w:lineRule="exact"/>
        <w:jc w:val="left"/>
        <w:rPr>
          <w:rFonts w:ascii="宋体" w:hAnsi="宋体" w:cs="宋体"/>
          <w:b/>
          <w:bCs/>
        </w:rPr>
      </w:pPr>
      <w:bookmarkStart w:id="345" w:name="_Toc989234"/>
      <w:r>
        <w:rPr>
          <w:rFonts w:ascii="宋体" w:hAnsi="宋体" w:cs="宋体"/>
          <w:b/>
          <w:bCs/>
        </w:rPr>
        <w:t>39、应付职工薪酬</w:t>
      </w:r>
      <w:bookmarkEnd w:id="345"/>
    </w:p>
    <w:p w:rsidR="00E22F4C" w:rsidRDefault="00381575">
      <w:pPr>
        <w:keepNext/>
        <w:keepLines/>
        <w:spacing w:before="300" w:after="300" w:line="280" w:lineRule="exact"/>
        <w:outlineLvl w:val="3"/>
        <w:rPr>
          <w:rFonts w:ascii="宋体" w:eastAsia="宋体" w:hAnsi="宋体" w:cs="宋体"/>
          <w:b/>
          <w:bCs/>
          <w:szCs w:val="21"/>
        </w:rPr>
      </w:pPr>
      <w:bookmarkStart w:id="346" w:name="_Toc989235"/>
      <w:r>
        <w:rPr>
          <w:rFonts w:ascii="宋体" w:eastAsia="宋体" w:hAnsi="宋体" w:cs="宋体"/>
          <w:b/>
          <w:bCs/>
          <w:szCs w:val="21"/>
        </w:rPr>
        <w:t>（1） 应付职工薪酬列示</w:t>
      </w:r>
      <w:bookmarkEnd w:id="34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一、短期薪酬</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3,186,357.55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80,455,063.61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80,510,674.40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3,130,746.76</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二、离职后福利-设定提存计划</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6,174,902.09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6,174,902.09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三、辞退福利</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1,004,669.93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1,004,669.93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3,186,357.55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87,634,635.63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87,690,246.42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3,130,746.76</w:t>
            </w:r>
          </w:p>
        </w:tc>
      </w:tr>
    </w:tbl>
    <w:p w:rsidR="00E22F4C" w:rsidRDefault="00381575">
      <w:pPr>
        <w:keepNext/>
        <w:keepLines/>
        <w:spacing w:before="300" w:after="300" w:line="280" w:lineRule="exact"/>
        <w:outlineLvl w:val="3"/>
        <w:rPr>
          <w:rFonts w:ascii="宋体" w:eastAsia="宋体" w:hAnsi="宋体" w:cs="宋体"/>
          <w:b/>
          <w:bCs/>
          <w:szCs w:val="21"/>
        </w:rPr>
      </w:pPr>
      <w:bookmarkStart w:id="347" w:name="_Toc989236"/>
      <w:r>
        <w:rPr>
          <w:rFonts w:ascii="宋体" w:eastAsia="宋体" w:hAnsi="宋体" w:cs="宋体"/>
          <w:b/>
          <w:bCs/>
          <w:szCs w:val="21"/>
        </w:rPr>
        <w:t>（2） 短期薪酬列示</w:t>
      </w:r>
      <w:bookmarkEnd w:id="34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1、工资、奖金、津贴和补贴</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3,186,357.55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68,672,487.44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68,736,766.25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3,122,078.74</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2、职工福利费</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7,546,759.89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7,546,759.89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3、社会保险费</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3,385,486.59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3,376,818.57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8,668.02</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其中：医疗保险费</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3,184,765.31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3,176,097.29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8,668.02</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工伤保险费</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200,721.28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200,721.28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4、住房公积金</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632,471.00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632,471.00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5、工会经费和职工教育经费</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217,858.69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217,858.69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3,186,357.55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80,455,063.61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80,510,674.40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3,130,746.76</w:t>
            </w:r>
          </w:p>
        </w:tc>
      </w:tr>
    </w:tbl>
    <w:p w:rsidR="00E22F4C" w:rsidRDefault="00381575">
      <w:pPr>
        <w:keepNext/>
        <w:keepLines/>
        <w:spacing w:before="300" w:after="300" w:line="280" w:lineRule="exact"/>
        <w:outlineLvl w:val="3"/>
        <w:rPr>
          <w:rFonts w:ascii="宋体" w:eastAsia="宋体" w:hAnsi="宋体" w:cs="宋体"/>
          <w:b/>
          <w:bCs/>
          <w:szCs w:val="21"/>
        </w:rPr>
      </w:pPr>
      <w:bookmarkStart w:id="348" w:name="_Toc989237"/>
      <w:r>
        <w:rPr>
          <w:rFonts w:ascii="宋体" w:eastAsia="宋体" w:hAnsi="宋体" w:cs="宋体"/>
          <w:b/>
          <w:bCs/>
          <w:szCs w:val="21"/>
        </w:rPr>
        <w:t>（3） 设定提存计划列示</w:t>
      </w:r>
      <w:bookmarkEnd w:id="34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1、基本养老保险</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6,053,354.40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6,053,354.40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2、失业保险费</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121,547.69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121,547.69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6,174,902.09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6,174,902.09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020737120"/>
        <w:rPr>
          <w:sz w:val="18"/>
          <w:szCs w:val="18"/>
        </w:rPr>
      </w:pPr>
    </w:p>
    <w:p w:rsidR="00E22F4C" w:rsidRDefault="00381575">
      <w:pPr>
        <w:pStyle w:val="3"/>
        <w:spacing w:line="280" w:lineRule="exact"/>
        <w:jc w:val="left"/>
        <w:rPr>
          <w:rFonts w:ascii="宋体" w:hAnsi="宋体" w:cs="宋体"/>
          <w:b/>
          <w:bCs/>
        </w:rPr>
      </w:pPr>
      <w:bookmarkStart w:id="349" w:name="_Toc989238"/>
      <w:r>
        <w:rPr>
          <w:rFonts w:ascii="宋体" w:hAnsi="宋体" w:cs="宋体"/>
          <w:b/>
          <w:bCs/>
        </w:rPr>
        <w:t>40、应交税费</w:t>
      </w:r>
      <w:bookmarkEnd w:id="34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5,787,800.61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23,486.93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1,565,594.73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个人所得税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35,981.20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26,167.81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31,138.60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82,808.44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13,775.91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54,076.09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资源税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70,259.16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8,581.96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384,589.62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99,959.26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环保税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13,822.14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9,738.72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13,472.47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35,489.33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8,981.66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23,659.55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6,391,890.26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1,932,493.93</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05632724"/>
        <w:rPr>
          <w:sz w:val="18"/>
          <w:szCs w:val="18"/>
        </w:rPr>
      </w:pPr>
    </w:p>
    <w:p w:rsidR="00E22F4C" w:rsidRDefault="00381575">
      <w:pPr>
        <w:pStyle w:val="3"/>
        <w:spacing w:line="280" w:lineRule="exact"/>
        <w:jc w:val="left"/>
        <w:rPr>
          <w:rFonts w:ascii="宋体" w:hAnsi="宋体" w:cs="宋体"/>
          <w:b/>
          <w:bCs/>
        </w:rPr>
      </w:pPr>
      <w:bookmarkStart w:id="350" w:name="_Toc989239"/>
      <w:r>
        <w:rPr>
          <w:rFonts w:ascii="宋体" w:hAnsi="宋体" w:cs="宋体"/>
          <w:b/>
          <w:bCs/>
        </w:rPr>
        <w:t>41、其他应付款</w:t>
      </w:r>
      <w:bookmarkEnd w:id="35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15,437,837.53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26,021,174.83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15,437,837.53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26,021,174.83</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351" w:name="_Toc989240"/>
      <w:r>
        <w:rPr>
          <w:rFonts w:ascii="宋体" w:eastAsia="宋体" w:hAnsi="宋体" w:cs="宋体"/>
          <w:b/>
          <w:bCs/>
          <w:sz w:val="18"/>
          <w:szCs w:val="18"/>
        </w:rPr>
        <w:lastRenderedPageBreak/>
        <w:t>（1） 应付利息</w:t>
      </w:r>
      <w:bookmarkEnd w:id="35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重要的已逾期未支付的利息情况：</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借款单位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14914133"/>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352" w:name="_Toc989241"/>
      <w:r>
        <w:rPr>
          <w:rFonts w:ascii="宋体" w:eastAsia="宋体" w:hAnsi="宋体" w:cs="宋体"/>
          <w:b/>
          <w:bCs/>
          <w:sz w:val="18"/>
          <w:szCs w:val="18"/>
        </w:rPr>
        <w:t>（2） 应付股利</w:t>
      </w:r>
      <w:bookmarkEnd w:id="35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其他说明，包括重要的超过1年未支付的应付股利，应披露未支付原因：</w:t>
      </w:r>
    </w:p>
    <w:p w:rsidR="00E22F4C" w:rsidRDefault="00E22F4C">
      <w:pPr>
        <w:divId w:val="1231308570"/>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353" w:name="_Toc989242"/>
      <w:r>
        <w:rPr>
          <w:rFonts w:ascii="宋体" w:eastAsia="宋体" w:hAnsi="宋体" w:cs="宋体"/>
          <w:b/>
          <w:bCs/>
          <w:sz w:val="18"/>
          <w:szCs w:val="18"/>
        </w:rPr>
        <w:t>（3） 其他应付款</w:t>
      </w:r>
      <w:bookmarkEnd w:id="353"/>
    </w:p>
    <w:p w:rsidR="00E22F4C" w:rsidRDefault="00381575">
      <w:pPr>
        <w:keepNext/>
        <w:keepLines/>
        <w:spacing w:before="300" w:after="300" w:line="280" w:lineRule="exact"/>
        <w:outlineLvl w:val="4"/>
        <w:rPr>
          <w:rFonts w:ascii="宋体" w:eastAsia="宋体" w:hAnsi="宋体" w:cs="宋体"/>
          <w:b/>
          <w:bCs/>
          <w:sz w:val="18"/>
          <w:szCs w:val="18"/>
        </w:rPr>
      </w:pPr>
      <w:bookmarkStart w:id="354" w:name="_Toc989243"/>
      <w:r>
        <w:rPr>
          <w:rFonts w:ascii="宋体" w:eastAsia="宋体" w:hAnsi="宋体" w:cs="宋体"/>
          <w:b/>
          <w:bCs/>
          <w:sz w:val="18"/>
          <w:szCs w:val="18"/>
        </w:rPr>
        <w:t>1） 按款项性质列示其他应付款</w:t>
      </w:r>
      <w:bookmarkEnd w:id="35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400,858.36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828,785.36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个人往来款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社保类</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33,072.41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20,989.47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限制性股票回购义务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14,907,220.00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保险赔偿款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96,686.76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15,437,837.53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26,021,174.83</w:t>
            </w:r>
          </w:p>
        </w:tc>
      </w:tr>
    </w:tbl>
    <w:p w:rsidR="00E22F4C" w:rsidRDefault="00381575">
      <w:pPr>
        <w:keepNext/>
        <w:keepLines/>
        <w:spacing w:before="300" w:after="300" w:line="280" w:lineRule="exact"/>
        <w:outlineLvl w:val="4"/>
        <w:rPr>
          <w:rFonts w:ascii="宋体" w:eastAsia="宋体" w:hAnsi="宋体" w:cs="宋体"/>
          <w:b/>
          <w:bCs/>
          <w:sz w:val="18"/>
          <w:szCs w:val="18"/>
        </w:rPr>
      </w:pPr>
      <w:bookmarkStart w:id="355" w:name="_Toc989244"/>
      <w:r>
        <w:rPr>
          <w:rFonts w:ascii="宋体" w:eastAsia="宋体" w:hAnsi="宋体" w:cs="宋体"/>
          <w:b/>
          <w:bCs/>
          <w:sz w:val="18"/>
          <w:szCs w:val="18"/>
        </w:rPr>
        <w:t>2） 账龄超过1年的重要其他应付款</w:t>
      </w:r>
      <w:bookmarkEnd w:id="35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676296706"/>
        <w:rPr>
          <w:sz w:val="18"/>
          <w:szCs w:val="18"/>
        </w:rPr>
      </w:pPr>
    </w:p>
    <w:p w:rsidR="00E22F4C" w:rsidRDefault="00381575">
      <w:pPr>
        <w:pStyle w:val="3"/>
        <w:spacing w:line="280" w:lineRule="exact"/>
        <w:jc w:val="left"/>
        <w:rPr>
          <w:rFonts w:ascii="宋体" w:hAnsi="宋体" w:cs="宋体"/>
          <w:b/>
          <w:bCs/>
        </w:rPr>
      </w:pPr>
      <w:bookmarkStart w:id="356" w:name="_Toc989245"/>
      <w:r>
        <w:rPr>
          <w:rFonts w:ascii="宋体" w:hAnsi="宋体" w:cs="宋体"/>
          <w:b/>
          <w:bCs/>
        </w:rPr>
        <w:t>42、持有待售负债</w:t>
      </w:r>
      <w:bookmarkEnd w:id="35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081438688"/>
        <w:rPr>
          <w:sz w:val="18"/>
          <w:szCs w:val="18"/>
        </w:rPr>
      </w:pPr>
    </w:p>
    <w:p w:rsidR="00E22F4C" w:rsidRDefault="00381575">
      <w:pPr>
        <w:pStyle w:val="3"/>
        <w:spacing w:line="280" w:lineRule="exact"/>
        <w:jc w:val="left"/>
        <w:rPr>
          <w:rFonts w:ascii="宋体" w:hAnsi="宋体" w:cs="宋体"/>
          <w:b/>
          <w:bCs/>
        </w:rPr>
      </w:pPr>
      <w:bookmarkStart w:id="357" w:name="_Toc989246"/>
      <w:r>
        <w:rPr>
          <w:rFonts w:ascii="宋体" w:hAnsi="宋体" w:cs="宋体"/>
          <w:b/>
          <w:bCs/>
        </w:rPr>
        <w:lastRenderedPageBreak/>
        <w:t>43、一年内到期的非流动负债</w:t>
      </w:r>
      <w:bookmarkEnd w:id="35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一年内到期的长期借款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102,080,000.00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39,800,000.00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一年内到期的租赁负债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200,356.67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686,502.13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102,280,356.67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40,486,502.13</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756319226"/>
        <w:rPr>
          <w:sz w:val="18"/>
          <w:szCs w:val="18"/>
        </w:rPr>
      </w:pPr>
    </w:p>
    <w:p w:rsidR="00E22F4C" w:rsidRDefault="00381575">
      <w:pPr>
        <w:pStyle w:val="3"/>
        <w:spacing w:line="280" w:lineRule="exact"/>
        <w:jc w:val="left"/>
        <w:rPr>
          <w:rFonts w:ascii="宋体" w:hAnsi="宋体" w:cs="宋体"/>
          <w:b/>
          <w:bCs/>
        </w:rPr>
      </w:pPr>
      <w:bookmarkStart w:id="358" w:name="_Toc989247"/>
      <w:r>
        <w:rPr>
          <w:rFonts w:ascii="宋体" w:hAnsi="宋体" w:cs="宋体"/>
          <w:b/>
          <w:bCs/>
        </w:rPr>
        <w:t>44、其他流动负债</w:t>
      </w:r>
      <w:bookmarkEnd w:id="35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可转换公司债券应付利息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1,508,798.75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1,568,516.32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长期借款应计利息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414,245.70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426,346.60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待转销项税额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132,088.08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819,356.80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2,055,132.53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2,814,219.72</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短期应付债券的增减变动：</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4"/>
        <w:gridCol w:w="804"/>
        <w:gridCol w:w="804"/>
        <w:gridCol w:w="803"/>
        <w:gridCol w:w="803"/>
        <w:gridCol w:w="803"/>
        <w:gridCol w:w="803"/>
        <w:gridCol w:w="803"/>
        <w:gridCol w:w="803"/>
        <w:gridCol w:w="803"/>
        <w:gridCol w:w="803"/>
        <w:gridCol w:w="803"/>
      </w:tblGrid>
      <w:tr w:rsidR="00E22F4C">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债券名称</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债券期限</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本期发行</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按面值计提利息</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溢折价摊销</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本期偿还</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442118686"/>
        <w:rPr>
          <w:sz w:val="18"/>
          <w:szCs w:val="18"/>
        </w:rPr>
      </w:pPr>
    </w:p>
    <w:p w:rsidR="00E22F4C" w:rsidRDefault="00381575">
      <w:pPr>
        <w:pStyle w:val="3"/>
        <w:spacing w:line="280" w:lineRule="exact"/>
        <w:jc w:val="left"/>
        <w:rPr>
          <w:rFonts w:ascii="宋体" w:hAnsi="宋体" w:cs="宋体"/>
          <w:b/>
          <w:bCs/>
        </w:rPr>
      </w:pPr>
      <w:bookmarkStart w:id="359" w:name="_Toc989248"/>
      <w:r>
        <w:rPr>
          <w:rFonts w:ascii="宋体" w:hAnsi="宋体" w:cs="宋体"/>
          <w:b/>
          <w:bCs/>
        </w:rPr>
        <w:t>45、长期借款</w:t>
      </w:r>
      <w:bookmarkEnd w:id="359"/>
    </w:p>
    <w:p w:rsidR="00E22F4C" w:rsidRDefault="00381575">
      <w:pPr>
        <w:keepNext/>
        <w:keepLines/>
        <w:spacing w:before="300" w:after="300" w:line="280" w:lineRule="exact"/>
        <w:outlineLvl w:val="3"/>
        <w:rPr>
          <w:rFonts w:ascii="宋体" w:eastAsia="宋体" w:hAnsi="宋体" w:cs="宋体"/>
          <w:b/>
          <w:bCs/>
          <w:sz w:val="18"/>
          <w:szCs w:val="18"/>
        </w:rPr>
      </w:pPr>
      <w:bookmarkStart w:id="360" w:name="_Toc989249"/>
      <w:r>
        <w:rPr>
          <w:rFonts w:ascii="宋体" w:eastAsia="宋体" w:hAnsi="宋体" w:cs="宋体"/>
          <w:b/>
          <w:bCs/>
          <w:sz w:val="18"/>
          <w:szCs w:val="18"/>
        </w:rPr>
        <w:t>（1） 长期借款分类</w:t>
      </w:r>
      <w:bookmarkEnd w:id="36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质押借款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18,400,000.00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抵押借款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61,820,000.00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保证借款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64,000,000.00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114,000,000.00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125,820,000.00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227,400,000.00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长期借款分类的说明：</w:t>
      </w:r>
    </w:p>
    <w:p w:rsidR="00E22F4C" w:rsidRDefault="00E22F4C">
      <w:pPr>
        <w:divId w:val="2131050603"/>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其他说明，包括利率区间：</w:t>
      </w:r>
    </w:p>
    <w:p w:rsidR="00E22F4C" w:rsidRDefault="00E22F4C">
      <w:pPr>
        <w:pStyle w:val="a4"/>
        <w:spacing w:before="120" w:beforeAutospacing="0" w:after="0" w:afterAutospacing="0" w:line="460" w:lineRule="atLeast"/>
        <w:ind w:firstLine="424"/>
        <w:jc w:val="both"/>
        <w:divId w:val="2143158560"/>
        <w:rPr>
          <w:rFonts w:ascii="Times New Roman" w:hAnsi="Times New Roman" w:cs="Times New Roman"/>
          <w:sz w:val="21"/>
          <w:szCs w:val="21"/>
        </w:rPr>
      </w:pPr>
      <w:r>
        <w:rPr>
          <w:rFonts w:cs="Times New Roman" w:hint="eastAsia"/>
          <w:sz w:val="21"/>
          <w:szCs w:val="21"/>
        </w:rPr>
        <w:lastRenderedPageBreak/>
        <w:t>以上保证、质押借款的借款利率为</w:t>
      </w:r>
      <w:r>
        <w:rPr>
          <w:rFonts w:ascii="Times New Roman" w:hAnsi="Times New Roman" w:cs="Times New Roman"/>
          <w:sz w:val="21"/>
          <w:szCs w:val="21"/>
        </w:rPr>
        <w:t>5.225%</w:t>
      </w:r>
      <w:r>
        <w:rPr>
          <w:rFonts w:cs="Times New Roman" w:hint="eastAsia"/>
          <w:sz w:val="21"/>
          <w:szCs w:val="21"/>
        </w:rPr>
        <w:t>；保证、抵押借款的借款利率为</w:t>
      </w:r>
      <w:r>
        <w:rPr>
          <w:rFonts w:ascii="Times New Roman" w:hAnsi="Times New Roman" w:cs="Times New Roman"/>
          <w:sz w:val="21"/>
          <w:szCs w:val="21"/>
        </w:rPr>
        <w:t>5.38%</w:t>
      </w:r>
      <w:r>
        <w:rPr>
          <w:rFonts w:cs="Times New Roman" w:hint="eastAsia"/>
          <w:sz w:val="21"/>
          <w:szCs w:val="21"/>
        </w:rPr>
        <w:t>；保证借款利率为</w:t>
      </w:r>
      <w:r>
        <w:rPr>
          <w:rFonts w:ascii="Times New Roman" w:hAnsi="Times New Roman" w:cs="Times New Roman"/>
          <w:sz w:val="21"/>
          <w:szCs w:val="21"/>
        </w:rPr>
        <w:t>4.35%</w:t>
      </w:r>
      <w:r>
        <w:rPr>
          <w:rFonts w:cs="Times New Roman" w:hint="eastAsia"/>
          <w:sz w:val="21"/>
          <w:szCs w:val="21"/>
        </w:rPr>
        <w:t>、</w:t>
      </w:r>
      <w:r>
        <w:rPr>
          <w:rFonts w:ascii="Times New Roman" w:hAnsi="Times New Roman" w:cs="Times New Roman"/>
          <w:sz w:val="21"/>
          <w:szCs w:val="21"/>
        </w:rPr>
        <w:t>6.28%</w:t>
      </w:r>
      <w:r>
        <w:rPr>
          <w:rFonts w:cs="Times New Roman" w:hint="eastAsia"/>
          <w:sz w:val="21"/>
          <w:szCs w:val="21"/>
        </w:rPr>
        <w:t>。</w:t>
      </w:r>
    </w:p>
    <w:p w:rsidR="00E22F4C" w:rsidRDefault="00381575">
      <w:pPr>
        <w:pStyle w:val="3"/>
        <w:spacing w:line="280" w:lineRule="exact"/>
        <w:jc w:val="left"/>
        <w:rPr>
          <w:rFonts w:ascii="宋体" w:hAnsi="宋体" w:cs="宋体"/>
          <w:b/>
          <w:bCs/>
        </w:rPr>
      </w:pPr>
      <w:bookmarkStart w:id="361" w:name="_Toc989250"/>
      <w:r>
        <w:rPr>
          <w:rFonts w:ascii="宋体" w:hAnsi="宋体" w:cs="宋体"/>
          <w:b/>
          <w:bCs/>
        </w:rPr>
        <w:t>46、应付债券</w:t>
      </w:r>
      <w:bookmarkEnd w:id="361"/>
    </w:p>
    <w:p w:rsidR="00E22F4C" w:rsidRDefault="00381575">
      <w:pPr>
        <w:keepNext/>
        <w:keepLines/>
        <w:spacing w:before="300" w:after="300" w:line="280" w:lineRule="exact"/>
        <w:outlineLvl w:val="3"/>
        <w:rPr>
          <w:rFonts w:ascii="宋体" w:eastAsia="宋体" w:hAnsi="宋体" w:cs="宋体"/>
          <w:b/>
          <w:bCs/>
          <w:szCs w:val="21"/>
        </w:rPr>
      </w:pPr>
      <w:bookmarkStart w:id="362" w:name="_Toc989251"/>
      <w:r>
        <w:rPr>
          <w:rFonts w:ascii="宋体" w:eastAsia="宋体" w:hAnsi="宋体" w:cs="宋体"/>
          <w:b/>
          <w:bCs/>
          <w:szCs w:val="21"/>
        </w:rPr>
        <w:t>（1） 应付债券</w:t>
      </w:r>
      <w:bookmarkEnd w:id="36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可转换公司债券</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281,671,949.19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265,001,933.79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281,671,949.19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265,001,933.79</w:t>
            </w:r>
          </w:p>
        </w:tc>
      </w:tr>
    </w:tbl>
    <w:p w:rsidR="00E22F4C" w:rsidRDefault="00381575">
      <w:pPr>
        <w:keepNext/>
        <w:keepLines/>
        <w:spacing w:before="300" w:after="300" w:line="280" w:lineRule="exact"/>
        <w:outlineLvl w:val="3"/>
        <w:rPr>
          <w:rFonts w:ascii="宋体" w:eastAsia="宋体" w:hAnsi="宋体" w:cs="宋体"/>
          <w:b/>
          <w:bCs/>
          <w:szCs w:val="21"/>
        </w:rPr>
      </w:pPr>
      <w:bookmarkStart w:id="363" w:name="_Toc989252"/>
      <w:r>
        <w:rPr>
          <w:rFonts w:ascii="宋体" w:eastAsia="宋体" w:hAnsi="宋体" w:cs="宋体"/>
          <w:b/>
          <w:bCs/>
          <w:szCs w:val="21"/>
        </w:rPr>
        <w:t>（2） 应付债券的增减变动（不包括划分为金融负债的优先股、永续债等其他金融工具）</w:t>
      </w:r>
      <w:bookmarkEnd w:id="36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4"/>
        <w:gridCol w:w="804"/>
        <w:gridCol w:w="803"/>
        <w:gridCol w:w="804"/>
        <w:gridCol w:w="803"/>
        <w:gridCol w:w="803"/>
        <w:gridCol w:w="803"/>
        <w:gridCol w:w="803"/>
        <w:gridCol w:w="803"/>
        <w:gridCol w:w="803"/>
        <w:gridCol w:w="803"/>
        <w:gridCol w:w="803"/>
      </w:tblGrid>
      <w:tr w:rsidR="00E22F4C">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债券名称</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债券期限</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本期发行</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按面值计提利息</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溢折价摊销</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本期偿还</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翔鹭转债</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2019/8/20</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6年</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301,922,300.00</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265,001,933.79</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16,670,015.40</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281,671,949.19</w:t>
            </w:r>
          </w:p>
        </w:tc>
      </w:tr>
      <w:tr w:rsidR="00E22F4C">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301,922,300.00</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265,001,933.79</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16,670,015.40</w:t>
            </w: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281,671,949.19</w:t>
            </w:r>
          </w:p>
        </w:tc>
      </w:tr>
    </w:tbl>
    <w:p w:rsidR="00E22F4C" w:rsidRDefault="00381575">
      <w:pPr>
        <w:keepNext/>
        <w:keepLines/>
        <w:spacing w:before="300" w:after="300" w:line="280" w:lineRule="exact"/>
        <w:outlineLvl w:val="3"/>
        <w:rPr>
          <w:rFonts w:ascii="宋体" w:eastAsia="宋体" w:hAnsi="宋体" w:cs="宋体"/>
          <w:b/>
          <w:bCs/>
          <w:szCs w:val="21"/>
        </w:rPr>
      </w:pPr>
      <w:bookmarkStart w:id="364" w:name="_Toc989253"/>
      <w:r>
        <w:rPr>
          <w:rFonts w:ascii="宋体" w:eastAsia="宋体" w:hAnsi="宋体" w:cs="宋体"/>
          <w:b/>
          <w:bCs/>
          <w:szCs w:val="21"/>
        </w:rPr>
        <w:t>（3） 可转换公司债券的转股条件、转股时间说明</w:t>
      </w:r>
      <w:bookmarkEnd w:id="364"/>
    </w:p>
    <w:p w:rsidR="00E22F4C" w:rsidRDefault="00E22F4C">
      <w:pPr>
        <w:pStyle w:val="a4"/>
        <w:spacing w:before="120" w:beforeAutospacing="0" w:after="0" w:afterAutospacing="0" w:line="460" w:lineRule="atLeast"/>
        <w:ind w:firstLine="424"/>
        <w:jc w:val="both"/>
        <w:divId w:val="231621674"/>
        <w:rPr>
          <w:rFonts w:ascii="Times New Roman" w:hAnsi="Times New Roman" w:cs="Times New Roman"/>
          <w:sz w:val="21"/>
          <w:szCs w:val="21"/>
        </w:rPr>
      </w:pPr>
      <w:r>
        <w:rPr>
          <w:rFonts w:cs="Times New Roman" w:hint="eastAsia"/>
          <w:sz w:val="21"/>
          <w:szCs w:val="21"/>
        </w:rPr>
        <w:t>本次发行的可转换公司债券的期限为自发行之日起</w:t>
      </w:r>
      <w:r>
        <w:rPr>
          <w:rFonts w:ascii="Times New Roman" w:hAnsi="Times New Roman" w:cs="Times New Roman"/>
          <w:sz w:val="21"/>
          <w:szCs w:val="21"/>
        </w:rPr>
        <w:t>6</w:t>
      </w:r>
      <w:r>
        <w:rPr>
          <w:rFonts w:cs="Times New Roman" w:hint="eastAsia"/>
          <w:sz w:val="21"/>
          <w:szCs w:val="21"/>
        </w:rPr>
        <w:t>年，即自</w:t>
      </w:r>
      <w:r>
        <w:rPr>
          <w:rFonts w:ascii="Times New Roman" w:hAnsi="Times New Roman" w:cs="Times New Roman"/>
          <w:sz w:val="21"/>
          <w:szCs w:val="21"/>
        </w:rPr>
        <w:t>2019</w:t>
      </w:r>
      <w:r>
        <w:rPr>
          <w:rFonts w:cs="Times New Roman" w:hint="eastAsia"/>
          <w:sz w:val="21"/>
          <w:szCs w:val="21"/>
        </w:rPr>
        <w:t>年</w:t>
      </w:r>
      <w:r>
        <w:rPr>
          <w:rFonts w:ascii="Times New Roman" w:hAnsi="Times New Roman" w:cs="Times New Roman"/>
          <w:sz w:val="21"/>
          <w:szCs w:val="21"/>
        </w:rPr>
        <w:t>8</w:t>
      </w:r>
      <w:r>
        <w:rPr>
          <w:rFonts w:cs="Times New Roman" w:hint="eastAsia"/>
          <w:sz w:val="21"/>
          <w:szCs w:val="21"/>
        </w:rPr>
        <w:t>月</w:t>
      </w:r>
      <w:r>
        <w:rPr>
          <w:rFonts w:ascii="Times New Roman" w:hAnsi="Times New Roman" w:cs="Times New Roman"/>
          <w:sz w:val="21"/>
          <w:szCs w:val="21"/>
        </w:rPr>
        <w:t>20</w:t>
      </w:r>
      <w:r>
        <w:rPr>
          <w:rFonts w:cs="Times New Roman" w:hint="eastAsia"/>
          <w:sz w:val="21"/>
          <w:szCs w:val="21"/>
        </w:rPr>
        <w:t>日至</w:t>
      </w:r>
      <w:r>
        <w:rPr>
          <w:rFonts w:ascii="Times New Roman" w:hAnsi="Times New Roman" w:cs="Times New Roman"/>
          <w:sz w:val="21"/>
          <w:szCs w:val="21"/>
        </w:rPr>
        <w:t>2025</w:t>
      </w:r>
      <w:r>
        <w:rPr>
          <w:rFonts w:cs="Times New Roman" w:hint="eastAsia"/>
          <w:sz w:val="21"/>
          <w:szCs w:val="21"/>
        </w:rPr>
        <w:t>年</w:t>
      </w:r>
      <w:r>
        <w:rPr>
          <w:rFonts w:ascii="Times New Roman" w:hAnsi="Times New Roman" w:cs="Times New Roman"/>
          <w:sz w:val="21"/>
          <w:szCs w:val="21"/>
        </w:rPr>
        <w:t>8</w:t>
      </w:r>
      <w:r>
        <w:rPr>
          <w:rFonts w:cs="Times New Roman" w:hint="eastAsia"/>
          <w:sz w:val="21"/>
          <w:szCs w:val="21"/>
        </w:rPr>
        <w:t>月</w:t>
      </w:r>
      <w:r>
        <w:rPr>
          <w:rFonts w:ascii="Times New Roman" w:hAnsi="Times New Roman" w:cs="Times New Roman"/>
          <w:sz w:val="21"/>
          <w:szCs w:val="21"/>
        </w:rPr>
        <w:t>19</w:t>
      </w:r>
      <w:r>
        <w:rPr>
          <w:rFonts w:cs="Times New Roman" w:hint="eastAsia"/>
          <w:sz w:val="21"/>
          <w:szCs w:val="21"/>
        </w:rPr>
        <w:t>日止；转股期自可转债发行结束之日</w:t>
      </w:r>
      <w:r>
        <w:rPr>
          <w:rFonts w:ascii="Times New Roman" w:hAnsi="Times New Roman" w:cs="Times New Roman"/>
          <w:sz w:val="21"/>
          <w:szCs w:val="21"/>
        </w:rPr>
        <w:t>2019</w:t>
      </w:r>
      <w:r>
        <w:rPr>
          <w:rFonts w:cs="Times New Roman" w:hint="eastAsia"/>
          <w:sz w:val="21"/>
          <w:szCs w:val="21"/>
        </w:rPr>
        <w:t>年</w:t>
      </w:r>
      <w:r>
        <w:rPr>
          <w:rFonts w:ascii="Times New Roman" w:hAnsi="Times New Roman" w:cs="Times New Roman"/>
          <w:sz w:val="21"/>
          <w:szCs w:val="21"/>
        </w:rPr>
        <w:t>8</w:t>
      </w:r>
      <w:r>
        <w:rPr>
          <w:rFonts w:cs="Times New Roman" w:hint="eastAsia"/>
          <w:sz w:val="21"/>
          <w:szCs w:val="21"/>
        </w:rPr>
        <w:t>月</w:t>
      </w:r>
      <w:r>
        <w:rPr>
          <w:rFonts w:ascii="Times New Roman" w:hAnsi="Times New Roman" w:cs="Times New Roman"/>
          <w:sz w:val="21"/>
          <w:szCs w:val="21"/>
        </w:rPr>
        <w:t>26</w:t>
      </w:r>
      <w:r>
        <w:rPr>
          <w:rFonts w:cs="Times New Roman" w:hint="eastAsia"/>
          <w:sz w:val="21"/>
          <w:szCs w:val="21"/>
        </w:rPr>
        <w:t>日起满</w:t>
      </w:r>
      <w:r>
        <w:rPr>
          <w:rFonts w:ascii="Times New Roman" w:hAnsi="Times New Roman" w:cs="Times New Roman"/>
          <w:sz w:val="21"/>
          <w:szCs w:val="21"/>
        </w:rPr>
        <w:t>6</w:t>
      </w:r>
      <w:r>
        <w:rPr>
          <w:rFonts w:cs="Times New Roman" w:hint="eastAsia"/>
          <w:sz w:val="21"/>
          <w:szCs w:val="21"/>
        </w:rPr>
        <w:t>个月后的第一个交易日起至可转换债到期日止，即自</w:t>
      </w:r>
      <w:r>
        <w:rPr>
          <w:rFonts w:ascii="Times New Roman" w:hAnsi="Times New Roman" w:cs="Times New Roman"/>
          <w:sz w:val="21"/>
          <w:szCs w:val="21"/>
        </w:rPr>
        <w:t>2020</w:t>
      </w:r>
      <w:r>
        <w:rPr>
          <w:rFonts w:cs="Times New Roman" w:hint="eastAsia"/>
          <w:sz w:val="21"/>
          <w:szCs w:val="21"/>
        </w:rPr>
        <w:t>年</w:t>
      </w:r>
      <w:r>
        <w:rPr>
          <w:rFonts w:ascii="Times New Roman" w:hAnsi="Times New Roman" w:cs="Times New Roman"/>
          <w:sz w:val="21"/>
          <w:szCs w:val="21"/>
        </w:rPr>
        <w:t>2</w:t>
      </w:r>
      <w:r>
        <w:rPr>
          <w:rFonts w:cs="Times New Roman" w:hint="eastAsia"/>
          <w:sz w:val="21"/>
          <w:szCs w:val="21"/>
        </w:rPr>
        <w:t>月</w:t>
      </w:r>
      <w:r>
        <w:rPr>
          <w:rFonts w:ascii="Times New Roman" w:hAnsi="Times New Roman" w:cs="Times New Roman"/>
          <w:sz w:val="21"/>
          <w:szCs w:val="21"/>
        </w:rPr>
        <w:t>26</w:t>
      </w:r>
      <w:r>
        <w:rPr>
          <w:rFonts w:cs="Times New Roman" w:hint="eastAsia"/>
          <w:sz w:val="21"/>
          <w:szCs w:val="21"/>
        </w:rPr>
        <w:t>日至</w:t>
      </w:r>
      <w:r>
        <w:rPr>
          <w:rFonts w:ascii="Times New Roman" w:hAnsi="Times New Roman" w:cs="Times New Roman"/>
          <w:sz w:val="21"/>
          <w:szCs w:val="21"/>
        </w:rPr>
        <w:t>2025</w:t>
      </w:r>
      <w:r>
        <w:rPr>
          <w:rFonts w:cs="Times New Roman" w:hint="eastAsia"/>
          <w:sz w:val="21"/>
          <w:szCs w:val="21"/>
        </w:rPr>
        <w:t>年</w:t>
      </w:r>
      <w:r>
        <w:rPr>
          <w:rFonts w:ascii="Times New Roman" w:hAnsi="Times New Roman" w:cs="Times New Roman"/>
          <w:sz w:val="21"/>
          <w:szCs w:val="21"/>
        </w:rPr>
        <w:t>8</w:t>
      </w:r>
      <w:r>
        <w:rPr>
          <w:rFonts w:cs="Times New Roman" w:hint="eastAsia"/>
          <w:sz w:val="21"/>
          <w:szCs w:val="21"/>
        </w:rPr>
        <w:t>月</w:t>
      </w:r>
      <w:r>
        <w:rPr>
          <w:rFonts w:ascii="Times New Roman" w:hAnsi="Times New Roman" w:cs="Times New Roman"/>
          <w:sz w:val="21"/>
          <w:szCs w:val="21"/>
        </w:rPr>
        <w:t>19</w:t>
      </w:r>
      <w:r>
        <w:rPr>
          <w:rFonts w:cs="Times New Roman" w:hint="eastAsia"/>
          <w:sz w:val="21"/>
          <w:szCs w:val="21"/>
        </w:rPr>
        <w:t xml:space="preserve">日止。可转换公司债券的初始转股价格为人民币 </w:t>
      </w:r>
      <w:r>
        <w:rPr>
          <w:rFonts w:ascii="Times New Roman" w:hAnsi="Times New Roman" w:cs="Times New Roman"/>
          <w:sz w:val="21"/>
          <w:szCs w:val="21"/>
        </w:rPr>
        <w:t>15.36</w:t>
      </w:r>
      <w:r>
        <w:rPr>
          <w:rFonts w:cs="Times New Roman" w:hint="eastAsia"/>
          <w:sz w:val="21"/>
          <w:szCs w:val="21"/>
        </w:rPr>
        <w:t>元</w:t>
      </w:r>
      <w:r>
        <w:rPr>
          <w:rFonts w:ascii="Times New Roman" w:hAnsi="Times New Roman" w:cs="Times New Roman"/>
          <w:sz w:val="21"/>
          <w:szCs w:val="21"/>
        </w:rPr>
        <w:t>/</w:t>
      </w:r>
      <w:r>
        <w:rPr>
          <w:rFonts w:cs="Times New Roman" w:hint="eastAsia"/>
          <w:sz w:val="21"/>
          <w:szCs w:val="21"/>
        </w:rPr>
        <w:t>股。</w:t>
      </w:r>
    </w:p>
    <w:p w:rsidR="00E22F4C" w:rsidRDefault="00E22F4C">
      <w:pPr>
        <w:pStyle w:val="a4"/>
        <w:spacing w:before="120" w:beforeAutospacing="0" w:after="0" w:afterAutospacing="0" w:line="460" w:lineRule="atLeast"/>
        <w:ind w:firstLine="424"/>
        <w:jc w:val="both"/>
        <w:divId w:val="231621674"/>
        <w:rPr>
          <w:rFonts w:ascii="Times New Roman" w:hAnsi="Times New Roman" w:cs="Times New Roman"/>
          <w:sz w:val="21"/>
          <w:szCs w:val="21"/>
        </w:rPr>
      </w:pPr>
      <w:r>
        <w:rPr>
          <w:rFonts w:cs="Times New Roman" w:hint="eastAsia"/>
          <w:sz w:val="21"/>
          <w:szCs w:val="21"/>
        </w:rPr>
        <w:t>本次发行的可转换公司债券的票面利率为第一年</w:t>
      </w:r>
      <w:r>
        <w:rPr>
          <w:rFonts w:ascii="Times New Roman" w:hAnsi="Times New Roman" w:cs="Times New Roman"/>
          <w:sz w:val="21"/>
          <w:szCs w:val="21"/>
        </w:rPr>
        <w:t>0.40%</w:t>
      </w:r>
      <w:r>
        <w:rPr>
          <w:rFonts w:cs="Times New Roman" w:hint="eastAsia"/>
          <w:sz w:val="21"/>
          <w:szCs w:val="21"/>
        </w:rPr>
        <w:t>、第二年</w:t>
      </w:r>
      <w:r>
        <w:rPr>
          <w:rFonts w:ascii="Times New Roman" w:hAnsi="Times New Roman" w:cs="Times New Roman"/>
          <w:sz w:val="21"/>
          <w:szCs w:val="21"/>
        </w:rPr>
        <w:t>0.60%</w:t>
      </w:r>
      <w:r>
        <w:rPr>
          <w:rFonts w:cs="Times New Roman" w:hint="eastAsia"/>
          <w:sz w:val="21"/>
          <w:szCs w:val="21"/>
        </w:rPr>
        <w:t>、第三年</w:t>
      </w:r>
      <w:r>
        <w:rPr>
          <w:rFonts w:ascii="Times New Roman" w:hAnsi="Times New Roman" w:cs="Times New Roman"/>
          <w:sz w:val="21"/>
          <w:szCs w:val="21"/>
        </w:rPr>
        <w:t>1.00%</w:t>
      </w:r>
      <w:r>
        <w:rPr>
          <w:rFonts w:cs="Times New Roman" w:hint="eastAsia"/>
          <w:sz w:val="21"/>
          <w:szCs w:val="21"/>
        </w:rPr>
        <w:t>、第四年</w:t>
      </w:r>
      <w:r>
        <w:rPr>
          <w:rFonts w:ascii="Times New Roman" w:hAnsi="Times New Roman" w:cs="Times New Roman"/>
          <w:sz w:val="21"/>
          <w:szCs w:val="21"/>
        </w:rPr>
        <w:t>1.50%</w:t>
      </w:r>
      <w:r>
        <w:rPr>
          <w:rFonts w:cs="Times New Roman" w:hint="eastAsia"/>
          <w:sz w:val="21"/>
          <w:szCs w:val="21"/>
        </w:rPr>
        <w:t>、第五年</w:t>
      </w:r>
      <w:r>
        <w:rPr>
          <w:rFonts w:ascii="Times New Roman" w:hAnsi="Times New Roman" w:cs="Times New Roman"/>
          <w:sz w:val="21"/>
          <w:szCs w:val="21"/>
        </w:rPr>
        <w:t>2.00%</w:t>
      </w:r>
      <w:r>
        <w:rPr>
          <w:rFonts w:cs="Times New Roman" w:hint="eastAsia"/>
          <w:sz w:val="21"/>
          <w:szCs w:val="21"/>
        </w:rPr>
        <w:t>、第六年</w:t>
      </w:r>
      <w:r>
        <w:rPr>
          <w:rFonts w:ascii="Times New Roman" w:hAnsi="Times New Roman" w:cs="Times New Roman"/>
          <w:sz w:val="21"/>
          <w:szCs w:val="21"/>
        </w:rPr>
        <w:t>2.50%</w:t>
      </w:r>
      <w:r>
        <w:rPr>
          <w:rFonts w:cs="Times New Roman" w:hint="eastAsia"/>
          <w:sz w:val="21"/>
          <w:szCs w:val="21"/>
        </w:rPr>
        <w:t>。每年的付息日为本次发行的可转债发行日起每满一年的当日，到期一次还本。</w:t>
      </w:r>
    </w:p>
    <w:p w:rsidR="00E22F4C" w:rsidRDefault="00E22F4C">
      <w:pPr>
        <w:pStyle w:val="a4"/>
        <w:spacing w:before="120" w:beforeAutospacing="0" w:after="0" w:afterAutospacing="0" w:line="460" w:lineRule="atLeast"/>
        <w:ind w:firstLine="424"/>
        <w:jc w:val="both"/>
        <w:divId w:val="231621674"/>
        <w:rPr>
          <w:rFonts w:ascii="Times New Roman" w:hAnsi="Times New Roman" w:cs="Times New Roman"/>
          <w:sz w:val="21"/>
          <w:szCs w:val="21"/>
        </w:rPr>
      </w:pPr>
      <w:r>
        <w:rPr>
          <w:rFonts w:cs="Times New Roman" w:hint="eastAsia"/>
          <w:sz w:val="21"/>
          <w:szCs w:val="21"/>
        </w:rPr>
        <w:t>经中国证券监督管理委员会《关于核准广东翔鹭钨业股份有限公司公开发行可转换公司债券的批复》</w:t>
      </w:r>
      <w:r>
        <w:rPr>
          <w:rFonts w:ascii="Times New Roman" w:hAnsi="Times New Roman" w:cs="Times New Roman"/>
          <w:sz w:val="21"/>
          <w:szCs w:val="21"/>
        </w:rPr>
        <w:t>(</w:t>
      </w:r>
      <w:r>
        <w:rPr>
          <w:rFonts w:cs="Times New Roman" w:hint="eastAsia"/>
          <w:sz w:val="21"/>
          <w:szCs w:val="21"/>
        </w:rPr>
        <w:t>证监许可</w:t>
      </w:r>
      <w:r>
        <w:rPr>
          <w:rFonts w:ascii="Times New Roman" w:hAnsi="Times New Roman" w:cs="Times New Roman"/>
          <w:sz w:val="21"/>
          <w:szCs w:val="21"/>
        </w:rPr>
        <w:t>[2019]1374)</w:t>
      </w:r>
      <w:r>
        <w:rPr>
          <w:rFonts w:cs="Times New Roman" w:hint="eastAsia"/>
          <w:sz w:val="21"/>
          <w:szCs w:val="21"/>
        </w:rPr>
        <w:t>核准，本公司于</w:t>
      </w:r>
      <w:r>
        <w:rPr>
          <w:rFonts w:ascii="Times New Roman" w:hAnsi="Times New Roman" w:cs="Times New Roman"/>
          <w:sz w:val="21"/>
          <w:szCs w:val="21"/>
        </w:rPr>
        <w:t>2019</w:t>
      </w:r>
      <w:r>
        <w:rPr>
          <w:rFonts w:cs="Times New Roman" w:hint="eastAsia"/>
          <w:sz w:val="21"/>
          <w:szCs w:val="21"/>
        </w:rPr>
        <w:t>年</w:t>
      </w:r>
      <w:r>
        <w:rPr>
          <w:rFonts w:ascii="Times New Roman" w:hAnsi="Times New Roman" w:cs="Times New Roman"/>
          <w:sz w:val="21"/>
          <w:szCs w:val="21"/>
        </w:rPr>
        <w:t>8</w:t>
      </w:r>
      <w:r>
        <w:rPr>
          <w:rFonts w:cs="Times New Roman" w:hint="eastAsia"/>
          <w:sz w:val="21"/>
          <w:szCs w:val="21"/>
        </w:rPr>
        <w:t>月</w:t>
      </w:r>
      <w:r>
        <w:rPr>
          <w:rFonts w:ascii="Times New Roman" w:hAnsi="Times New Roman" w:cs="Times New Roman"/>
          <w:sz w:val="21"/>
          <w:szCs w:val="21"/>
        </w:rPr>
        <w:t>20</w:t>
      </w:r>
      <w:r>
        <w:rPr>
          <w:rFonts w:cs="Times New Roman" w:hint="eastAsia"/>
          <w:sz w:val="21"/>
          <w:szCs w:val="21"/>
        </w:rPr>
        <w:t>日公开发行了</w:t>
      </w:r>
      <w:r>
        <w:rPr>
          <w:rFonts w:ascii="Times New Roman" w:hAnsi="Times New Roman" w:cs="Times New Roman"/>
          <w:sz w:val="21"/>
          <w:szCs w:val="21"/>
        </w:rPr>
        <w:t>3,019,223</w:t>
      </w:r>
      <w:r>
        <w:rPr>
          <w:rFonts w:cs="Times New Roman" w:hint="eastAsia"/>
          <w:sz w:val="21"/>
          <w:szCs w:val="21"/>
        </w:rPr>
        <w:t>张可转换公司债券，每张面值</w:t>
      </w:r>
      <w:r>
        <w:rPr>
          <w:rFonts w:ascii="Times New Roman" w:hAnsi="Times New Roman" w:cs="Times New Roman"/>
          <w:sz w:val="21"/>
          <w:szCs w:val="21"/>
        </w:rPr>
        <w:t>100</w:t>
      </w:r>
      <w:r>
        <w:rPr>
          <w:rFonts w:cs="Times New Roman" w:hint="eastAsia"/>
          <w:sz w:val="21"/>
          <w:szCs w:val="21"/>
        </w:rPr>
        <w:t>元，发行总额</w:t>
      </w:r>
      <w:r>
        <w:rPr>
          <w:rFonts w:ascii="Times New Roman" w:hAnsi="Times New Roman" w:cs="Times New Roman"/>
          <w:sz w:val="21"/>
          <w:szCs w:val="21"/>
        </w:rPr>
        <w:t>30,192.23</w:t>
      </w:r>
      <w:r>
        <w:rPr>
          <w:rFonts w:cs="Times New Roman" w:hint="eastAsia"/>
          <w:sz w:val="21"/>
          <w:szCs w:val="21"/>
        </w:rPr>
        <w:t>万元。</w:t>
      </w:r>
    </w:p>
    <w:p w:rsidR="00E22F4C" w:rsidRDefault="00381575">
      <w:pPr>
        <w:keepNext/>
        <w:keepLines/>
        <w:spacing w:before="300" w:after="300" w:line="280" w:lineRule="exact"/>
        <w:outlineLvl w:val="3"/>
        <w:rPr>
          <w:rFonts w:ascii="宋体" w:eastAsia="宋体" w:hAnsi="宋体" w:cs="宋体"/>
          <w:b/>
          <w:bCs/>
          <w:szCs w:val="21"/>
        </w:rPr>
      </w:pPr>
      <w:bookmarkStart w:id="365" w:name="_Toc989254"/>
      <w:r>
        <w:rPr>
          <w:rFonts w:ascii="宋体" w:eastAsia="宋体" w:hAnsi="宋体" w:cs="宋体"/>
          <w:b/>
          <w:bCs/>
          <w:szCs w:val="21"/>
        </w:rPr>
        <w:t>（4） 划分为金融负债的其他金融工具说明</w:t>
      </w:r>
      <w:bookmarkEnd w:id="36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期末发行在外的优先股、永续债等其他金融工具基本情况</w:t>
      </w:r>
    </w:p>
    <w:p w:rsidR="00E22F4C" w:rsidRDefault="00E22F4C">
      <w:pPr>
        <w:divId w:val="1277715601"/>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期末发行在外的优先股、永续债等金融工具变动情况表</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发行在外的金融工具</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其他金融工具划分为金融负债的依据说明</w:t>
      </w:r>
    </w:p>
    <w:p w:rsidR="00E22F4C" w:rsidRDefault="00E22F4C">
      <w:pPr>
        <w:divId w:val="1232616140"/>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821385661"/>
        <w:rPr>
          <w:sz w:val="18"/>
          <w:szCs w:val="18"/>
        </w:rPr>
      </w:pPr>
    </w:p>
    <w:p w:rsidR="00E22F4C" w:rsidRDefault="00381575">
      <w:pPr>
        <w:pStyle w:val="3"/>
        <w:spacing w:line="280" w:lineRule="exact"/>
        <w:jc w:val="left"/>
        <w:rPr>
          <w:rFonts w:ascii="宋体" w:hAnsi="宋体" w:cs="宋体"/>
          <w:b/>
          <w:bCs/>
        </w:rPr>
      </w:pPr>
      <w:bookmarkStart w:id="366" w:name="_Toc989255"/>
      <w:r>
        <w:rPr>
          <w:rFonts w:ascii="宋体" w:hAnsi="宋体" w:cs="宋体"/>
          <w:b/>
          <w:bCs/>
        </w:rPr>
        <w:t>47、租赁负债</w:t>
      </w:r>
      <w:bookmarkEnd w:id="36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租赁付款额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338,209.47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338,209.47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101490998"/>
        <w:rPr>
          <w:sz w:val="18"/>
          <w:szCs w:val="18"/>
        </w:rPr>
      </w:pPr>
    </w:p>
    <w:p w:rsidR="00E22F4C" w:rsidRDefault="00381575">
      <w:pPr>
        <w:pStyle w:val="3"/>
        <w:spacing w:line="280" w:lineRule="exact"/>
        <w:jc w:val="left"/>
        <w:rPr>
          <w:rFonts w:ascii="宋体" w:hAnsi="宋体" w:cs="宋体"/>
          <w:b/>
          <w:bCs/>
        </w:rPr>
      </w:pPr>
      <w:bookmarkStart w:id="367" w:name="_Toc989256"/>
      <w:r>
        <w:rPr>
          <w:rFonts w:ascii="宋体" w:hAnsi="宋体" w:cs="宋体"/>
          <w:b/>
          <w:bCs/>
        </w:rPr>
        <w:t>48、长期应付款</w:t>
      </w:r>
      <w:bookmarkEnd w:id="36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专项应付款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368" w:name="_Toc989257"/>
      <w:r>
        <w:rPr>
          <w:rFonts w:ascii="宋体" w:eastAsia="宋体" w:hAnsi="宋体" w:cs="宋体"/>
          <w:b/>
          <w:bCs/>
          <w:sz w:val="18"/>
          <w:szCs w:val="18"/>
        </w:rPr>
        <w:t>（1） 按款项性质列示长期应付款</w:t>
      </w:r>
      <w:bookmarkEnd w:id="36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463427101"/>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369" w:name="_Toc989258"/>
      <w:r>
        <w:rPr>
          <w:rFonts w:ascii="宋体" w:eastAsia="宋体" w:hAnsi="宋体" w:cs="宋体"/>
          <w:b/>
          <w:bCs/>
          <w:sz w:val="18"/>
          <w:szCs w:val="18"/>
        </w:rPr>
        <w:t>（2） 专项应付款</w:t>
      </w:r>
      <w:bookmarkEnd w:id="36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608854426"/>
        <w:rPr>
          <w:sz w:val="18"/>
          <w:szCs w:val="18"/>
        </w:rPr>
      </w:pPr>
    </w:p>
    <w:p w:rsidR="00E22F4C" w:rsidRDefault="00381575">
      <w:pPr>
        <w:pStyle w:val="3"/>
        <w:spacing w:line="280" w:lineRule="exact"/>
        <w:jc w:val="left"/>
        <w:rPr>
          <w:rFonts w:ascii="宋体" w:hAnsi="宋体" w:cs="宋体"/>
          <w:b/>
          <w:bCs/>
        </w:rPr>
      </w:pPr>
      <w:bookmarkStart w:id="370" w:name="_Toc989259"/>
      <w:r>
        <w:rPr>
          <w:rFonts w:ascii="宋体" w:hAnsi="宋体" w:cs="宋体"/>
          <w:b/>
          <w:bCs/>
        </w:rPr>
        <w:lastRenderedPageBreak/>
        <w:t>49、长期应付职工薪酬</w:t>
      </w:r>
      <w:bookmarkEnd w:id="370"/>
    </w:p>
    <w:p w:rsidR="00E22F4C" w:rsidRDefault="00381575">
      <w:pPr>
        <w:keepNext/>
        <w:keepLines/>
        <w:spacing w:before="300" w:after="300" w:line="280" w:lineRule="exact"/>
        <w:outlineLvl w:val="3"/>
        <w:rPr>
          <w:rFonts w:ascii="宋体" w:eastAsia="宋体" w:hAnsi="宋体" w:cs="宋体"/>
          <w:b/>
          <w:bCs/>
          <w:sz w:val="18"/>
          <w:szCs w:val="18"/>
        </w:rPr>
      </w:pPr>
      <w:bookmarkStart w:id="371" w:name="_Toc989260"/>
      <w:r>
        <w:rPr>
          <w:rFonts w:ascii="宋体" w:eastAsia="宋体" w:hAnsi="宋体" w:cs="宋体"/>
          <w:b/>
          <w:bCs/>
          <w:sz w:val="18"/>
          <w:szCs w:val="18"/>
        </w:rPr>
        <w:t>（1） 长期应付职工薪酬表</w:t>
      </w:r>
      <w:bookmarkEnd w:id="37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372" w:name="_Toc989261"/>
      <w:r>
        <w:rPr>
          <w:rFonts w:ascii="宋体" w:eastAsia="宋体" w:hAnsi="宋体" w:cs="宋体"/>
          <w:b/>
          <w:bCs/>
          <w:sz w:val="18"/>
          <w:szCs w:val="18"/>
        </w:rPr>
        <w:t>（2） 设定受益计划变动情况</w:t>
      </w:r>
      <w:bookmarkEnd w:id="372"/>
    </w:p>
    <w:p w:rsidR="00E22F4C" w:rsidRDefault="00381575">
      <w:pPr>
        <w:spacing w:before="120" w:after="120" w:line="240" w:lineRule="exact"/>
        <w:rPr>
          <w:rFonts w:ascii="宋体" w:eastAsia="宋体" w:hAnsi="宋体" w:cs="宋体"/>
          <w:sz w:val="18"/>
          <w:szCs w:val="18"/>
        </w:rPr>
      </w:pPr>
      <w:r>
        <w:rPr>
          <w:rFonts w:ascii="宋体" w:eastAsia="宋体" w:hAnsi="宋体" w:cs="宋体"/>
          <w:sz w:val="18"/>
          <w:szCs w:val="18"/>
        </w:rPr>
        <w:t>设定受益计划义务现值：</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计划资产：</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设定受益计划净负债（净资产）</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设定受益计划的内容及与之相关风险、对公司未来现金流量、时间和不确定性的影响说明：</w:t>
      </w:r>
    </w:p>
    <w:p w:rsidR="00E22F4C" w:rsidRDefault="00E22F4C">
      <w:pPr>
        <w:divId w:val="223302897"/>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设定受益计划重大精算假设及敏感性分析结果说明：</w:t>
      </w:r>
    </w:p>
    <w:p w:rsidR="00E22F4C" w:rsidRDefault="00E22F4C">
      <w:pPr>
        <w:divId w:val="1556043901"/>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063453437"/>
        <w:rPr>
          <w:sz w:val="18"/>
          <w:szCs w:val="18"/>
        </w:rPr>
      </w:pPr>
    </w:p>
    <w:p w:rsidR="00E22F4C" w:rsidRDefault="00381575">
      <w:pPr>
        <w:pStyle w:val="3"/>
        <w:spacing w:line="280" w:lineRule="exact"/>
        <w:jc w:val="left"/>
        <w:rPr>
          <w:rFonts w:ascii="宋体" w:hAnsi="宋体" w:cs="宋体"/>
          <w:b/>
          <w:bCs/>
        </w:rPr>
      </w:pPr>
      <w:bookmarkStart w:id="373" w:name="_Toc989262"/>
      <w:r>
        <w:rPr>
          <w:rFonts w:ascii="宋体" w:hAnsi="宋体" w:cs="宋体"/>
          <w:b/>
          <w:bCs/>
        </w:rPr>
        <w:t>50、预计负债</w:t>
      </w:r>
      <w:bookmarkEnd w:id="37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其他说明，包括重要预计负债的相关重要假设、估计说明：</w:t>
      </w:r>
    </w:p>
    <w:p w:rsidR="00E22F4C" w:rsidRDefault="00E22F4C">
      <w:pPr>
        <w:divId w:val="1207597389"/>
        <w:rPr>
          <w:sz w:val="18"/>
          <w:szCs w:val="18"/>
        </w:rPr>
      </w:pPr>
    </w:p>
    <w:p w:rsidR="00E22F4C" w:rsidRDefault="00381575">
      <w:pPr>
        <w:pStyle w:val="3"/>
        <w:spacing w:line="280" w:lineRule="exact"/>
        <w:jc w:val="left"/>
        <w:rPr>
          <w:rFonts w:ascii="宋体" w:hAnsi="宋体" w:cs="宋体"/>
          <w:b/>
          <w:bCs/>
        </w:rPr>
      </w:pPr>
      <w:bookmarkStart w:id="374" w:name="_Toc989263"/>
      <w:r>
        <w:rPr>
          <w:rFonts w:ascii="宋体" w:hAnsi="宋体" w:cs="宋体"/>
          <w:b/>
          <w:bCs/>
        </w:rPr>
        <w:t>51、递延收益</w:t>
      </w:r>
      <w:bookmarkEnd w:id="37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6,705,037.22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8,267,700.00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2,748,164.80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12,224,572.42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与资产相关的政府补助</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6,705,037.22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8,267,700.00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2,748,164.80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12,224,572.42</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涉及政府补助的项目：</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负债项目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本期新增补助金额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本期计入营业外收</w:t>
            </w:r>
            <w:r>
              <w:rPr>
                <w:rFonts w:ascii="宋体" w:eastAsia="宋体" w:hAnsi="宋体" w:cs="宋体"/>
                <w:sz w:val="18"/>
                <w:szCs w:val="18"/>
              </w:rPr>
              <w:lastRenderedPageBreak/>
              <w:t>入金额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本期计入其他收益</w:t>
            </w:r>
            <w:r>
              <w:rPr>
                <w:rFonts w:ascii="宋体" w:eastAsia="宋体" w:hAnsi="宋体" w:cs="宋体"/>
                <w:sz w:val="18"/>
                <w:szCs w:val="18"/>
              </w:rPr>
              <w:lastRenderedPageBreak/>
              <w:t>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本期冲减成本费用</w:t>
            </w:r>
            <w:r>
              <w:rPr>
                <w:rFonts w:ascii="宋体" w:eastAsia="宋体" w:hAnsi="宋体" w:cs="宋体"/>
                <w:sz w:val="18"/>
                <w:szCs w:val="18"/>
              </w:rPr>
              <w:lastRenderedPageBreak/>
              <w:t>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与资产相关/与收益</w:t>
            </w:r>
            <w:r>
              <w:rPr>
                <w:rFonts w:ascii="宋体" w:eastAsia="宋体" w:hAnsi="宋体" w:cs="宋体"/>
                <w:sz w:val="18"/>
                <w:szCs w:val="18"/>
              </w:rPr>
              <w:lastRenderedPageBreak/>
              <w:t>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高性能超细碳化钨循环技术改造项目</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1,166,666.49</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1,166,666.49</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新型十五管还原炉双层推舟结构技术改造项目</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年产3000吨高性能碳化钨循环技改扩建项目</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1,920,000.00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200t/a硬质合金研发生产线技术改造项目</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730,753.33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156,590.00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574,163.33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2016年省级工业与信息发展专项资金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132,043.07</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44,014.38</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88,028.69</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2017年省级治污保洁和节能减排专项资金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450,000.00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重金属污染防治专项资金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1,118,074.23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200,252.10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917,822.13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2000T特种碳化钨粉全自动智能化扩产增效技改项目</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12,500.00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工业转型升级专项资金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975,000.10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130,000.06</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845,000.04</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特种硬质合金生产线自动化技术改造项目</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3,467,700.00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288,975.00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3,178,725.00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2021年第三批省级工业发展专项资金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2,200,000.00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91,666.77</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2,108,333.23</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粤东西北地区博士工作站项目</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表面超强化材料的梯度设</w:t>
            </w:r>
            <w:r>
              <w:rPr>
                <w:rFonts w:ascii="宋体" w:eastAsia="宋体" w:hAnsi="宋体" w:cs="宋体"/>
                <w:sz w:val="18"/>
                <w:szCs w:val="18"/>
              </w:rPr>
              <w:lastRenderedPageBreak/>
              <w:t>计、构筑与极端环境应用基础研究项目</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2,100,000.00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2,100,000.00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其他说明：</w:t>
      </w:r>
    </w:p>
    <w:p w:rsidR="00E22F4C" w:rsidRDefault="00E22F4C">
      <w:pPr>
        <w:pStyle w:val="a4"/>
        <w:spacing w:before="120" w:beforeAutospacing="0" w:after="0" w:afterAutospacing="0" w:line="460" w:lineRule="atLeast"/>
        <w:ind w:firstLine="424"/>
        <w:jc w:val="both"/>
        <w:divId w:val="552929641"/>
        <w:rPr>
          <w:rFonts w:ascii="Times New Roman" w:hAnsi="Times New Roman" w:cs="Times New Roman"/>
          <w:sz w:val="21"/>
          <w:szCs w:val="21"/>
        </w:rPr>
      </w:pPr>
      <w:r>
        <w:rPr>
          <w:rFonts w:ascii="Times New Roman" w:hAnsi="Times New Roman" w:cs="Times New Roman"/>
          <w:sz w:val="21"/>
          <w:szCs w:val="21"/>
        </w:rPr>
        <w:t> </w:t>
      </w:r>
    </w:p>
    <w:p w:rsidR="00E22F4C" w:rsidRDefault="00E22F4C">
      <w:pPr>
        <w:pStyle w:val="16"/>
        <w:spacing w:after="120" w:afterAutospacing="0" w:line="460" w:lineRule="atLeast"/>
        <w:ind w:firstLine="420"/>
        <w:divId w:val="552929641"/>
        <w:rPr>
          <w:sz w:val="18"/>
          <w:szCs w:val="18"/>
        </w:rPr>
      </w:pPr>
      <w:r>
        <w:rPr>
          <w:rFonts w:hint="eastAsia"/>
          <w:sz w:val="18"/>
          <w:szCs w:val="18"/>
        </w:rPr>
        <w:t> </w:t>
      </w:r>
    </w:p>
    <w:p w:rsidR="00E22F4C" w:rsidRDefault="00381575">
      <w:pPr>
        <w:pStyle w:val="3"/>
        <w:spacing w:line="280" w:lineRule="exact"/>
        <w:jc w:val="left"/>
        <w:rPr>
          <w:rFonts w:ascii="宋体" w:hAnsi="宋体" w:cs="宋体"/>
          <w:b/>
          <w:bCs/>
        </w:rPr>
      </w:pPr>
      <w:bookmarkStart w:id="375" w:name="_Toc989264"/>
      <w:r>
        <w:rPr>
          <w:rFonts w:ascii="宋体" w:hAnsi="宋体" w:cs="宋体"/>
          <w:b/>
          <w:bCs/>
        </w:rPr>
        <w:t>52、其他非流动负债</w:t>
      </w:r>
      <w:bookmarkEnd w:id="37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14125340"/>
        <w:rPr>
          <w:sz w:val="18"/>
          <w:szCs w:val="18"/>
        </w:rPr>
      </w:pPr>
    </w:p>
    <w:p w:rsidR="00E22F4C" w:rsidRDefault="00381575">
      <w:pPr>
        <w:pStyle w:val="3"/>
        <w:spacing w:line="280" w:lineRule="exact"/>
        <w:jc w:val="left"/>
        <w:rPr>
          <w:rFonts w:ascii="宋体" w:hAnsi="宋体" w:cs="宋体"/>
          <w:b/>
          <w:bCs/>
        </w:rPr>
      </w:pPr>
      <w:bookmarkStart w:id="376" w:name="_Toc989265"/>
      <w:r>
        <w:rPr>
          <w:rFonts w:ascii="宋体" w:hAnsi="宋体" w:cs="宋体"/>
          <w:b/>
          <w:bCs/>
        </w:rPr>
        <w:t>53、股本</w:t>
      </w:r>
      <w:bookmarkEnd w:id="37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E22F4C">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6024"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本次变动增减（+、-）</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发行新股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送股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公积金转股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股份总数</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277,671,652.00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4,396.00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277,676,048.00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pStyle w:val="a4"/>
        <w:spacing w:before="0" w:beforeAutospacing="0" w:after="0" w:afterAutospacing="0"/>
        <w:jc w:val="both"/>
        <w:divId w:val="100345178"/>
        <w:rPr>
          <w:rFonts w:ascii="Times New Roman" w:hAnsi="Times New Roman" w:cs="Times New Roman"/>
          <w:sz w:val="21"/>
          <w:szCs w:val="21"/>
        </w:rPr>
      </w:pPr>
      <w:r>
        <w:rPr>
          <w:rFonts w:cs="Times New Roman" w:hint="eastAsia"/>
          <w:sz w:val="21"/>
          <w:szCs w:val="21"/>
        </w:rPr>
        <w:t>经中国证券监督管理委员会证监许可【</w:t>
      </w:r>
      <w:r>
        <w:rPr>
          <w:rFonts w:ascii="Times New Roman" w:hAnsi="Times New Roman" w:cs="Times New Roman"/>
          <w:sz w:val="21"/>
          <w:szCs w:val="21"/>
        </w:rPr>
        <w:t>2019</w:t>
      </w:r>
      <w:r>
        <w:rPr>
          <w:rFonts w:cs="Times New Roman" w:hint="eastAsia"/>
          <w:sz w:val="21"/>
          <w:szCs w:val="21"/>
        </w:rPr>
        <w:t>】</w:t>
      </w:r>
      <w:r>
        <w:rPr>
          <w:rFonts w:ascii="Times New Roman" w:hAnsi="Times New Roman" w:cs="Times New Roman"/>
          <w:sz w:val="21"/>
          <w:szCs w:val="21"/>
        </w:rPr>
        <w:t xml:space="preserve">1374 </w:t>
      </w:r>
      <w:r>
        <w:rPr>
          <w:rFonts w:cs="Times New Roman" w:hint="eastAsia"/>
          <w:sz w:val="21"/>
          <w:szCs w:val="21"/>
        </w:rPr>
        <w:t>号文《关于核准广东翔鹭钨业股份有限公司公开发行可转换公司债券的批复》核准，</w:t>
      </w:r>
      <w:r>
        <w:rPr>
          <w:rFonts w:ascii="Times New Roman" w:hAnsi="Times New Roman" w:cs="Times New Roman"/>
          <w:sz w:val="21"/>
          <w:szCs w:val="21"/>
        </w:rPr>
        <w:t>2019</w:t>
      </w:r>
      <w:r>
        <w:rPr>
          <w:rFonts w:cs="Times New Roman" w:hint="eastAsia"/>
          <w:sz w:val="21"/>
          <w:szCs w:val="21"/>
        </w:rPr>
        <w:t>年</w:t>
      </w:r>
      <w:r>
        <w:rPr>
          <w:rFonts w:ascii="Times New Roman" w:hAnsi="Times New Roman" w:cs="Times New Roman"/>
          <w:sz w:val="21"/>
          <w:szCs w:val="21"/>
        </w:rPr>
        <w:t>8</w:t>
      </w:r>
      <w:r>
        <w:rPr>
          <w:rFonts w:cs="Times New Roman" w:hint="eastAsia"/>
          <w:sz w:val="21"/>
          <w:szCs w:val="21"/>
        </w:rPr>
        <w:t>月</w:t>
      </w:r>
      <w:r>
        <w:rPr>
          <w:rFonts w:ascii="Times New Roman" w:hAnsi="Times New Roman" w:cs="Times New Roman"/>
          <w:sz w:val="21"/>
          <w:szCs w:val="21"/>
        </w:rPr>
        <w:t>20</w:t>
      </w:r>
      <w:r>
        <w:rPr>
          <w:rFonts w:cs="Times New Roman" w:hint="eastAsia"/>
          <w:sz w:val="21"/>
          <w:szCs w:val="21"/>
        </w:rPr>
        <w:t>日本公司向社会公开发行面值总额为</w:t>
      </w:r>
      <w:r>
        <w:rPr>
          <w:rFonts w:ascii="Times New Roman" w:hAnsi="Times New Roman" w:cs="Times New Roman"/>
          <w:sz w:val="21"/>
          <w:szCs w:val="21"/>
        </w:rPr>
        <w:t xml:space="preserve">30,192.23 </w:t>
      </w:r>
      <w:r>
        <w:rPr>
          <w:rFonts w:cs="Times New Roman" w:hint="eastAsia"/>
          <w:sz w:val="21"/>
          <w:szCs w:val="21"/>
        </w:rPr>
        <w:t>万元的可转换公司债券，期限</w:t>
      </w:r>
      <w:r>
        <w:rPr>
          <w:rFonts w:ascii="Times New Roman" w:hAnsi="Times New Roman" w:cs="Times New Roman"/>
          <w:sz w:val="21"/>
          <w:szCs w:val="21"/>
        </w:rPr>
        <w:t>6</w:t>
      </w:r>
      <w:r>
        <w:rPr>
          <w:rFonts w:cs="Times New Roman" w:hint="eastAsia"/>
          <w:sz w:val="21"/>
          <w:szCs w:val="21"/>
        </w:rPr>
        <w:t>年。本次发行的可转债转股期自可转债发行结束之日起满</w:t>
      </w:r>
      <w:r>
        <w:rPr>
          <w:rFonts w:ascii="Times New Roman" w:hAnsi="Times New Roman" w:cs="Times New Roman"/>
          <w:sz w:val="21"/>
          <w:szCs w:val="21"/>
        </w:rPr>
        <w:t>6</w:t>
      </w:r>
      <w:r>
        <w:rPr>
          <w:rFonts w:cs="Times New Roman" w:hint="eastAsia"/>
          <w:sz w:val="21"/>
          <w:szCs w:val="21"/>
        </w:rPr>
        <w:t>个月后的第一个交易日至可转债到期日止。截至</w:t>
      </w: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r>
        <w:rPr>
          <w:rFonts w:ascii="Times New Roman" w:hAnsi="Times New Roman" w:cs="Times New Roman"/>
          <w:sz w:val="21"/>
          <w:szCs w:val="21"/>
        </w:rPr>
        <w:t>31</w:t>
      </w:r>
      <w:r>
        <w:rPr>
          <w:rFonts w:cs="Times New Roman" w:hint="eastAsia"/>
          <w:sz w:val="21"/>
          <w:szCs w:val="21"/>
        </w:rPr>
        <w:t>日，累计转股增加股份数</w:t>
      </w:r>
      <w:r>
        <w:rPr>
          <w:rFonts w:ascii="Times New Roman" w:hAnsi="Times New Roman" w:cs="Times New Roman"/>
          <w:sz w:val="21"/>
          <w:szCs w:val="21"/>
        </w:rPr>
        <w:t>12,448.00</w:t>
      </w:r>
      <w:r>
        <w:rPr>
          <w:rFonts w:cs="Times New Roman" w:hint="eastAsia"/>
          <w:sz w:val="21"/>
          <w:szCs w:val="21"/>
        </w:rPr>
        <w:t>股，本期结转</w:t>
      </w:r>
      <w:r>
        <w:rPr>
          <w:rFonts w:ascii="Times New Roman" w:hAnsi="Times New Roman" w:cs="Times New Roman"/>
          <w:sz w:val="21"/>
          <w:szCs w:val="21"/>
        </w:rPr>
        <w:t>4,396.00</w:t>
      </w:r>
      <w:r>
        <w:rPr>
          <w:rFonts w:cs="Times New Roman" w:hint="eastAsia"/>
          <w:sz w:val="21"/>
          <w:szCs w:val="21"/>
        </w:rPr>
        <w:t>股。</w:t>
      </w:r>
    </w:p>
    <w:p w:rsidR="00E22F4C" w:rsidRDefault="00381575">
      <w:pPr>
        <w:pStyle w:val="3"/>
        <w:spacing w:line="280" w:lineRule="exact"/>
        <w:jc w:val="left"/>
        <w:rPr>
          <w:rFonts w:ascii="宋体" w:hAnsi="宋体" w:cs="宋体"/>
          <w:b/>
          <w:bCs/>
        </w:rPr>
      </w:pPr>
      <w:bookmarkStart w:id="377" w:name="_Toc989266"/>
      <w:r>
        <w:rPr>
          <w:rFonts w:ascii="宋体" w:hAnsi="宋体" w:cs="宋体"/>
          <w:b/>
          <w:bCs/>
        </w:rPr>
        <w:t>54、其他权益工具</w:t>
      </w:r>
      <w:bookmarkEnd w:id="377"/>
    </w:p>
    <w:p w:rsidR="00E22F4C" w:rsidRDefault="00381575">
      <w:pPr>
        <w:keepNext/>
        <w:keepLines/>
        <w:spacing w:before="300" w:after="300" w:line="280" w:lineRule="exact"/>
        <w:outlineLvl w:val="3"/>
        <w:rPr>
          <w:rFonts w:ascii="宋体" w:eastAsia="宋体" w:hAnsi="宋体" w:cs="宋体"/>
          <w:b/>
          <w:bCs/>
          <w:sz w:val="18"/>
          <w:szCs w:val="18"/>
        </w:rPr>
      </w:pPr>
      <w:bookmarkStart w:id="378" w:name="_Toc989267"/>
      <w:r>
        <w:rPr>
          <w:rFonts w:ascii="宋体" w:eastAsia="宋体" w:hAnsi="宋体" w:cs="宋体"/>
          <w:b/>
          <w:bCs/>
          <w:sz w:val="18"/>
          <w:szCs w:val="18"/>
        </w:rPr>
        <w:t>（1） 期末发行在外的优先股、永续债等其他金融工具基本情况</w:t>
      </w:r>
      <w:bookmarkEnd w:id="378"/>
    </w:p>
    <w:p w:rsidR="00E22F4C" w:rsidRDefault="00E22F4C">
      <w:pPr>
        <w:divId w:val="1723365240"/>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379" w:name="_Toc989268"/>
      <w:r>
        <w:rPr>
          <w:rFonts w:ascii="宋体" w:eastAsia="宋体" w:hAnsi="宋体" w:cs="宋体"/>
          <w:b/>
          <w:bCs/>
          <w:sz w:val="18"/>
          <w:szCs w:val="18"/>
        </w:rPr>
        <w:t>（2） 期末发行在外的优先股、永续债等金融工具变动情况表</w:t>
      </w:r>
      <w:bookmarkEnd w:id="37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发行在外的金融工具</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可转换公司债券</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3,017,985.00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665.00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14,339.29</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3,017,320.00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65,667,753.05</w:t>
            </w:r>
          </w:p>
        </w:tc>
      </w:tr>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3,017,985.00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65,682,092.34</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665.00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14,339.29</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3,017,320.00</w:t>
            </w:r>
          </w:p>
        </w:tc>
        <w:tc>
          <w:tcPr>
            <w:tcW w:w="1071"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65,667,753.05</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其他权益工具本期增减变动情况、变动原因说明，以及相关会计处理的依据：</w:t>
      </w:r>
    </w:p>
    <w:p w:rsidR="00E22F4C" w:rsidRDefault="00E22F4C">
      <w:pPr>
        <w:divId w:val="2090998062"/>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00538702"/>
        <w:rPr>
          <w:sz w:val="18"/>
          <w:szCs w:val="18"/>
        </w:rPr>
      </w:pPr>
    </w:p>
    <w:p w:rsidR="00E22F4C" w:rsidRDefault="00381575">
      <w:pPr>
        <w:pStyle w:val="3"/>
        <w:spacing w:line="280" w:lineRule="exact"/>
        <w:jc w:val="left"/>
        <w:rPr>
          <w:rFonts w:ascii="宋体" w:hAnsi="宋体" w:cs="宋体"/>
          <w:b/>
          <w:bCs/>
        </w:rPr>
      </w:pPr>
      <w:bookmarkStart w:id="380" w:name="_Toc989269"/>
      <w:r>
        <w:rPr>
          <w:rFonts w:ascii="宋体" w:hAnsi="宋体" w:cs="宋体"/>
          <w:b/>
          <w:bCs/>
        </w:rPr>
        <w:t>55、资本公积</w:t>
      </w:r>
      <w:bookmarkEnd w:id="38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资本溢价（股本溢价）</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216,480,087.82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634,184.58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217,114,272.40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其他资本公积</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5,858,490.11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7,092,300.00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12,950,790.11</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222,338,577.93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7,726,484.58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230,065,062.51</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rsidR="00E22F4C" w:rsidRDefault="00E22F4C">
      <w:pPr>
        <w:pStyle w:val="a4"/>
        <w:spacing w:before="0" w:beforeAutospacing="0" w:after="0" w:afterAutospacing="0"/>
        <w:jc w:val="both"/>
        <w:divId w:val="236672378"/>
        <w:rPr>
          <w:rFonts w:ascii="Times New Roman" w:hAnsi="Times New Roman" w:cs="Times New Roman"/>
          <w:sz w:val="21"/>
          <w:szCs w:val="21"/>
        </w:rPr>
      </w:pPr>
      <w:r>
        <w:rPr>
          <w:rFonts w:cs="Times New Roman" w:hint="eastAsia"/>
          <w:sz w:val="21"/>
          <w:szCs w:val="21"/>
        </w:rPr>
        <w:t>本期股本溢价增加额系可转换公司债券本期转股增加资本公积</w:t>
      </w:r>
      <w:r>
        <w:rPr>
          <w:rFonts w:ascii="Times New Roman" w:hAnsi="Times New Roman" w:cs="Times New Roman"/>
          <w:sz w:val="21"/>
          <w:szCs w:val="21"/>
        </w:rPr>
        <w:t>634,184.58</w:t>
      </w:r>
      <w:r>
        <w:rPr>
          <w:rFonts w:cs="Times New Roman" w:hint="eastAsia"/>
          <w:sz w:val="21"/>
          <w:szCs w:val="21"/>
        </w:rPr>
        <w:t>元。本期其他资本公积增加额系限制性股票股权激励费用增加资本公积</w:t>
      </w:r>
      <w:r>
        <w:rPr>
          <w:rFonts w:ascii="Times New Roman" w:hAnsi="Times New Roman" w:cs="Times New Roman"/>
          <w:sz w:val="21"/>
          <w:szCs w:val="21"/>
        </w:rPr>
        <w:t>7,092,300.00</w:t>
      </w:r>
      <w:r>
        <w:rPr>
          <w:rFonts w:cs="Times New Roman" w:hint="eastAsia"/>
          <w:sz w:val="21"/>
          <w:szCs w:val="21"/>
        </w:rPr>
        <w:t>元。</w:t>
      </w:r>
      <w:r>
        <w:rPr>
          <w:rFonts w:ascii="Times New Roman" w:hAnsi="Times New Roman" w:cs="Times New Roman"/>
          <w:sz w:val="21"/>
          <w:szCs w:val="21"/>
        </w:rPr>
        <w:t> </w:t>
      </w:r>
    </w:p>
    <w:p w:rsidR="00E22F4C" w:rsidRDefault="00381575">
      <w:pPr>
        <w:pStyle w:val="3"/>
        <w:spacing w:line="280" w:lineRule="exact"/>
        <w:jc w:val="left"/>
        <w:rPr>
          <w:rFonts w:ascii="宋体" w:hAnsi="宋体" w:cs="宋体"/>
          <w:b/>
          <w:bCs/>
        </w:rPr>
      </w:pPr>
      <w:bookmarkStart w:id="381" w:name="_Toc989270"/>
      <w:r>
        <w:rPr>
          <w:rFonts w:ascii="宋体" w:hAnsi="宋体" w:cs="宋体"/>
          <w:b/>
          <w:bCs/>
        </w:rPr>
        <w:t>56、库存股</w:t>
      </w:r>
      <w:bookmarkEnd w:id="38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限制性股票回购</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10,121,180.00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15,050,120.00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25,171,300.00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10,121,180.00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15,050,120.00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rsidR="00E22F4C" w:rsidRDefault="00E22F4C">
      <w:pPr>
        <w:divId w:val="1221404500"/>
        <w:rPr>
          <w:sz w:val="18"/>
          <w:szCs w:val="18"/>
        </w:rPr>
      </w:pPr>
    </w:p>
    <w:p w:rsidR="00E22F4C" w:rsidRDefault="00381575">
      <w:pPr>
        <w:pStyle w:val="3"/>
        <w:spacing w:line="280" w:lineRule="exact"/>
        <w:jc w:val="left"/>
        <w:rPr>
          <w:rFonts w:ascii="宋体" w:hAnsi="宋体" w:cs="宋体"/>
          <w:b/>
          <w:bCs/>
        </w:rPr>
      </w:pPr>
      <w:bookmarkStart w:id="382" w:name="_Toc989271"/>
      <w:r>
        <w:rPr>
          <w:rFonts w:ascii="宋体" w:hAnsi="宋体" w:cs="宋体"/>
          <w:b/>
          <w:bCs/>
        </w:rPr>
        <w:t>57、其他综合收益</w:t>
      </w:r>
      <w:bookmarkEnd w:id="38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6426"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本期所得税前发生额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减：前期计入其他综合收益当期转入损益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减：前期计入其他综合收益当期转入留存收益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减：所得税费用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税后归属于母公司</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税后归属于少数股东</w:t>
            </w: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其他说明，包括对现金流量套期损益的有效部分转为被套期项目初始确认金额调整：</w:t>
      </w:r>
    </w:p>
    <w:p w:rsidR="00E22F4C" w:rsidRDefault="00E22F4C">
      <w:pPr>
        <w:divId w:val="68356467"/>
        <w:rPr>
          <w:sz w:val="18"/>
          <w:szCs w:val="18"/>
        </w:rPr>
      </w:pPr>
    </w:p>
    <w:p w:rsidR="00E22F4C" w:rsidRDefault="00381575">
      <w:pPr>
        <w:pStyle w:val="3"/>
        <w:spacing w:line="280" w:lineRule="exact"/>
        <w:jc w:val="left"/>
        <w:rPr>
          <w:rFonts w:ascii="宋体" w:hAnsi="宋体" w:cs="宋体"/>
          <w:b/>
          <w:bCs/>
        </w:rPr>
      </w:pPr>
      <w:bookmarkStart w:id="383" w:name="_Toc989272"/>
      <w:r>
        <w:rPr>
          <w:rFonts w:ascii="宋体" w:hAnsi="宋体" w:cs="宋体"/>
          <w:b/>
          <w:bCs/>
        </w:rPr>
        <w:t>58、专项储备</w:t>
      </w:r>
      <w:bookmarkEnd w:id="38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安全生产费</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31,426,815.31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6,921,542.08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11,717,997.04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26,630,360.35</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矿山环境治理恢复基金</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492,064.29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37,629.18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29,702.97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499,990.50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31,918,879.60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6,959,171.26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11,747,700.01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27,130,350.85</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rsidR="00E22F4C" w:rsidRDefault="00E22F4C">
      <w:pPr>
        <w:pStyle w:val="15"/>
        <w:spacing w:after="120" w:afterAutospacing="0" w:line="460" w:lineRule="atLeast"/>
        <w:ind w:firstLine="420"/>
        <w:divId w:val="751854717"/>
        <w:rPr>
          <w:sz w:val="18"/>
          <w:szCs w:val="18"/>
        </w:rPr>
      </w:pPr>
      <w:r>
        <w:rPr>
          <w:rFonts w:hint="eastAsia"/>
          <w:sz w:val="21"/>
          <w:szCs w:val="21"/>
        </w:rPr>
        <w:t>（</w:t>
      </w:r>
      <w:r>
        <w:rPr>
          <w:rFonts w:ascii="Times New Roman" w:hAnsi="Times New Roman" w:cs="Times New Roman"/>
          <w:sz w:val="21"/>
          <w:szCs w:val="21"/>
        </w:rPr>
        <w:t>1</w:t>
      </w:r>
      <w:r>
        <w:rPr>
          <w:rFonts w:hint="eastAsia"/>
          <w:sz w:val="21"/>
          <w:szCs w:val="21"/>
        </w:rPr>
        <w:t>）根据财政部、安全监管总局发布 《企业安全生产费用提取和使用管理办法》“财资〔</w:t>
      </w:r>
      <w:r>
        <w:rPr>
          <w:rFonts w:ascii="Times New Roman" w:hAnsi="Times New Roman" w:cs="Times New Roman"/>
          <w:sz w:val="21"/>
          <w:szCs w:val="21"/>
        </w:rPr>
        <w:t>2022</w:t>
      </w:r>
      <w:r>
        <w:rPr>
          <w:rFonts w:hint="eastAsia"/>
          <w:sz w:val="21"/>
          <w:szCs w:val="21"/>
        </w:rPr>
        <w:t>〕</w:t>
      </w:r>
      <w:r>
        <w:rPr>
          <w:rFonts w:ascii="Times New Roman" w:hAnsi="Times New Roman" w:cs="Times New Roman"/>
          <w:sz w:val="21"/>
          <w:szCs w:val="21"/>
        </w:rPr>
        <w:t>136</w:t>
      </w:r>
      <w:r>
        <w:rPr>
          <w:rFonts w:hint="eastAsia"/>
          <w:sz w:val="21"/>
          <w:szCs w:val="21"/>
        </w:rPr>
        <w:t>号”规定：①公司以上一年度实际营业收入为计提依据，采取超额累退方式计提企业安全生产费用；②公司之子公司大余隆鑫泰矿业有限公司以本年度开采的原矿产量为计提依据，按月提取企业安全生产费用。根据《大余县应急管理局关于同意江西翔鹭钨业有限公司缓提</w:t>
      </w:r>
      <w:r>
        <w:rPr>
          <w:rFonts w:ascii="Times New Roman" w:hAnsi="Times New Roman" w:cs="Times New Roman"/>
          <w:sz w:val="21"/>
          <w:szCs w:val="21"/>
        </w:rPr>
        <w:t>2022</w:t>
      </w:r>
      <w:r>
        <w:rPr>
          <w:rFonts w:hint="eastAsia"/>
          <w:sz w:val="21"/>
          <w:szCs w:val="21"/>
        </w:rPr>
        <w:t>年度安全生产费用的批复》，公司之子公司江西翔鹭钨业有限公司本期不计提企业安全生产费用。</w:t>
      </w:r>
    </w:p>
    <w:p w:rsidR="00E22F4C" w:rsidRDefault="00E22F4C">
      <w:pPr>
        <w:pStyle w:val="15"/>
        <w:spacing w:after="120" w:afterAutospacing="0" w:line="460" w:lineRule="atLeast"/>
        <w:ind w:firstLine="420"/>
        <w:divId w:val="751854717"/>
        <w:rPr>
          <w:sz w:val="18"/>
          <w:szCs w:val="18"/>
        </w:rPr>
      </w:pPr>
      <w:r>
        <w:rPr>
          <w:rFonts w:hint="eastAsia"/>
          <w:sz w:val="21"/>
          <w:szCs w:val="21"/>
        </w:rPr>
        <w:t>（</w:t>
      </w:r>
      <w:r>
        <w:rPr>
          <w:rFonts w:ascii="Times New Roman" w:hAnsi="Times New Roman" w:cs="Times New Roman"/>
          <w:sz w:val="21"/>
          <w:szCs w:val="21"/>
        </w:rPr>
        <w:t>2</w:t>
      </w:r>
      <w:r>
        <w:rPr>
          <w:rFonts w:hint="eastAsia"/>
          <w:sz w:val="21"/>
          <w:szCs w:val="21"/>
        </w:rPr>
        <w:t>）根据江西省自然资源厅、江西省财政厅和江西省生态环境厅于</w:t>
      </w:r>
      <w:r>
        <w:rPr>
          <w:rFonts w:ascii="Times New Roman" w:hAnsi="Times New Roman" w:cs="Times New Roman"/>
          <w:sz w:val="21"/>
          <w:szCs w:val="21"/>
        </w:rPr>
        <w:t>2019</w:t>
      </w:r>
      <w:r>
        <w:rPr>
          <w:rFonts w:hint="eastAsia"/>
          <w:sz w:val="21"/>
          <w:szCs w:val="21"/>
        </w:rPr>
        <w:t>年</w:t>
      </w:r>
      <w:r>
        <w:rPr>
          <w:rFonts w:ascii="Times New Roman" w:hAnsi="Times New Roman" w:cs="Times New Roman"/>
          <w:sz w:val="21"/>
          <w:szCs w:val="21"/>
        </w:rPr>
        <w:t>11</w:t>
      </w:r>
      <w:r>
        <w:rPr>
          <w:rFonts w:hint="eastAsia"/>
          <w:sz w:val="21"/>
          <w:szCs w:val="21"/>
        </w:rPr>
        <w:t>月</w:t>
      </w:r>
      <w:r>
        <w:rPr>
          <w:rFonts w:ascii="Times New Roman" w:hAnsi="Times New Roman" w:cs="Times New Roman"/>
          <w:sz w:val="21"/>
          <w:szCs w:val="21"/>
        </w:rPr>
        <w:t>7</w:t>
      </w:r>
      <w:r>
        <w:rPr>
          <w:rFonts w:hint="eastAsia"/>
          <w:sz w:val="21"/>
          <w:szCs w:val="21"/>
        </w:rPr>
        <w:t>日发布的《江西省矿山生态修复基金管理办法》，大余隆鑫泰矿业有限公司本期按固定公式计提矿山生态修复基金</w:t>
      </w:r>
      <w:r>
        <w:rPr>
          <w:rFonts w:ascii="Times New Roman" w:hAnsi="Times New Roman" w:cs="Times New Roman"/>
          <w:sz w:val="21"/>
          <w:szCs w:val="21"/>
        </w:rPr>
        <w:t>7,709.85</w:t>
      </w:r>
      <w:r>
        <w:rPr>
          <w:rFonts w:hint="eastAsia"/>
          <w:sz w:val="21"/>
          <w:szCs w:val="21"/>
        </w:rPr>
        <w:t>元。</w:t>
      </w:r>
    </w:p>
    <w:p w:rsidR="00E22F4C" w:rsidRDefault="00381575">
      <w:pPr>
        <w:pStyle w:val="3"/>
        <w:spacing w:line="280" w:lineRule="exact"/>
        <w:jc w:val="left"/>
        <w:rPr>
          <w:rFonts w:ascii="宋体" w:hAnsi="宋体" w:cs="宋体"/>
          <w:b/>
          <w:bCs/>
        </w:rPr>
      </w:pPr>
      <w:bookmarkStart w:id="384" w:name="_Toc989273"/>
      <w:r>
        <w:rPr>
          <w:rFonts w:ascii="宋体" w:hAnsi="宋体" w:cs="宋体"/>
          <w:b/>
          <w:bCs/>
        </w:rPr>
        <w:t>59、盈余公积</w:t>
      </w:r>
      <w:bookmarkEnd w:id="38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法定盈余公积</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53,913,423.70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52,564,222.25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53,913,423.70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盈余公积说明，包括本期增减变动情况、变动原因说明：</w:t>
      </w:r>
    </w:p>
    <w:p w:rsidR="00E22F4C" w:rsidRDefault="00E22F4C">
      <w:pPr>
        <w:divId w:val="1951887119"/>
        <w:rPr>
          <w:sz w:val="18"/>
          <w:szCs w:val="18"/>
        </w:rPr>
      </w:pPr>
    </w:p>
    <w:p w:rsidR="00E22F4C" w:rsidRDefault="00381575">
      <w:pPr>
        <w:pStyle w:val="3"/>
        <w:spacing w:line="280" w:lineRule="exact"/>
        <w:jc w:val="left"/>
        <w:rPr>
          <w:rFonts w:ascii="宋体" w:hAnsi="宋体" w:cs="宋体"/>
          <w:b/>
          <w:bCs/>
        </w:rPr>
      </w:pPr>
      <w:bookmarkStart w:id="385" w:name="_Toc989274"/>
      <w:r>
        <w:rPr>
          <w:rFonts w:ascii="宋体" w:hAnsi="宋体" w:cs="宋体"/>
          <w:b/>
          <w:bCs/>
        </w:rPr>
        <w:t>60、未分配利润</w:t>
      </w:r>
      <w:bookmarkEnd w:id="38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调整前上期末未分配利润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387,320,163.25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367,225,311.52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调整后期初未分配利润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387,320,163.25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367,225,311.52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加：本期归属于母公司所有者的净利润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减：提取法定盈余公积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1,349,201.45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4,655,098.31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应付普通股股利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27,745,013.55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-142,900.00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317,106,319.67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387,320,163.25</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调整期初未分配利润明细：</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1)、由于《企业会计准则》及其相关新规定进行追溯调整，影响期初未分配利润元。</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2)、由于会计政策变更，影响期初未分配利润元。</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3)、由于重大会计差错更正，影响期初未分配利润元。</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4)、由于同一控制导致的合并范围变更，影响期初未分配利润元。</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5)、其他调整合计影响期初未分配利润元。</w:t>
      </w:r>
    </w:p>
    <w:p w:rsidR="00E22F4C" w:rsidRDefault="00381575">
      <w:pPr>
        <w:pStyle w:val="3"/>
        <w:spacing w:line="280" w:lineRule="exact"/>
        <w:jc w:val="left"/>
        <w:rPr>
          <w:rFonts w:ascii="宋体" w:hAnsi="宋体" w:cs="宋体"/>
          <w:b/>
          <w:bCs/>
        </w:rPr>
      </w:pPr>
      <w:bookmarkStart w:id="386" w:name="_Toc989275"/>
      <w:r>
        <w:rPr>
          <w:rFonts w:ascii="宋体" w:hAnsi="宋体" w:cs="宋体"/>
          <w:b/>
          <w:bCs/>
        </w:rPr>
        <w:t>61、营业收入和营业成本</w:t>
      </w:r>
      <w:bookmarkEnd w:id="38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1,656,692,501.39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1,500,743,581.59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1,500,555,072.48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1,307,372,677.34</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16,860,738.59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7,026,420.53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23,845,960.99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21,240,018.91</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1,507,770,002.12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1,524,401,033.47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1,328,612,696.25</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经审计扣除非经常损益前后净利润孰低是否为负值</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本年度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具体扣除情况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上年度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具体扣除情况</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营业收入金额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1,673,553,239.98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1,524,401,033.47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营业收入扣除项目合计金额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16,860,738.59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23,845,960.99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营业收入扣除项目合计金额占营业收入的比重</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一、与主营业务无关的业务收入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正常经营之外的其他业务收入。如出租固定资产、无形资产、包装物，销售材料，用材料进行非货币性资产交换，经营受托管理业务等实现的收入，以及虽计入主营业务收入，但属于上市公司正常经营之外的收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16,860,738.59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销售辅料、废料等</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22,613,061.57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销售辅料、废料等</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3.本会计年度以及上一会计年度新增贸易业务所产生的收入。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1,232,899.42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与主营业务无关的业务收入小计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16,860,738.59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23,845,960.99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二、不具备商业实质的收入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不具备商业实质的收入小计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营业收入扣除后金额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1,656,692,501.39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1,500,555,072.48</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收入相关信息：</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合同分类</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分部1</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分部2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商品类型</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按经营地区分类</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市场或客户类型</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合同类型</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按商品转让的时间分类</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按合同期限分类</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按销售渠道分类</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与履约义务相关的信息：</w:t>
      </w:r>
    </w:p>
    <w:p w:rsidR="00E22F4C" w:rsidRDefault="00E22F4C">
      <w:pPr>
        <w:pStyle w:val="a4"/>
        <w:divId w:val="1837182951"/>
        <w:rPr>
          <w:sz w:val="18"/>
          <w:szCs w:val="18"/>
        </w:rPr>
      </w:pPr>
      <w:r>
        <w:rPr>
          <w:rFonts w:hint="eastAsia"/>
          <w:sz w:val="18"/>
          <w:szCs w:val="18"/>
        </w:rPr>
        <w:t>无</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与分摊至剩余履约义务的交易价格相关的信息：</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本报告期末已签订合同、但尚未履行或尚未履行完毕的履约义务所对应的收入金额为233,229,312.68元，其中，233,229,312.68元预计将于2023年度确认收入，元预计将于年度确认收入，元预计将于年度确认收入。</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33374739"/>
        <w:rPr>
          <w:sz w:val="18"/>
          <w:szCs w:val="18"/>
        </w:rPr>
      </w:pPr>
    </w:p>
    <w:p w:rsidR="00E22F4C" w:rsidRDefault="00381575">
      <w:pPr>
        <w:pStyle w:val="3"/>
        <w:spacing w:line="280" w:lineRule="exact"/>
        <w:jc w:val="left"/>
        <w:rPr>
          <w:rFonts w:ascii="宋体" w:hAnsi="宋体" w:cs="宋体"/>
          <w:b/>
          <w:bCs/>
        </w:rPr>
      </w:pPr>
      <w:bookmarkStart w:id="387" w:name="_Toc989276"/>
      <w:r>
        <w:rPr>
          <w:rFonts w:ascii="宋体" w:hAnsi="宋体" w:cs="宋体"/>
          <w:b/>
          <w:bCs/>
        </w:rPr>
        <w:t>62、税金及附加</w:t>
      </w:r>
      <w:bookmarkEnd w:id="38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52,813.74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490,759.53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25,536.10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214,830.90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资源税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475,311.81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495,049.78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1,636,669.87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1,538,171.56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530,010.47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638,162.73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车船使用税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5,875.06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2,689.20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2,827,037.50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949,768.53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残疾人基金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465,941.42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环境保护税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42,116.42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24,473.67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17,024.07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143,220.60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防空地下室易地建设税</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169,684.80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5,612,395.04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5,132,752.72</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709113091"/>
        <w:rPr>
          <w:sz w:val="18"/>
          <w:szCs w:val="18"/>
        </w:rPr>
      </w:pPr>
    </w:p>
    <w:p w:rsidR="00E22F4C" w:rsidRDefault="00381575">
      <w:pPr>
        <w:pStyle w:val="3"/>
        <w:spacing w:line="280" w:lineRule="exact"/>
        <w:jc w:val="left"/>
        <w:rPr>
          <w:rFonts w:ascii="宋体" w:hAnsi="宋体" w:cs="宋体"/>
          <w:b/>
          <w:bCs/>
        </w:rPr>
      </w:pPr>
      <w:bookmarkStart w:id="388" w:name="_Toc989277"/>
      <w:r>
        <w:rPr>
          <w:rFonts w:ascii="宋体" w:hAnsi="宋体" w:cs="宋体"/>
          <w:b/>
          <w:bCs/>
        </w:rPr>
        <w:t>63、销售费用</w:t>
      </w:r>
      <w:bookmarkEnd w:id="38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3,502,200.55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3,204,811.85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业务费用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1,735,639.50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1,394,497.25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广告宣传费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152,644.52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348,154.39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办公费用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567,371.40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269,434.73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差旅费用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157,693.20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140,690.29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719,993.35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556,574.87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6,835,542.52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5,914,163.38</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461118237"/>
        <w:rPr>
          <w:sz w:val="18"/>
          <w:szCs w:val="18"/>
        </w:rPr>
      </w:pPr>
    </w:p>
    <w:p w:rsidR="00E22F4C" w:rsidRDefault="00381575">
      <w:pPr>
        <w:pStyle w:val="3"/>
        <w:spacing w:line="280" w:lineRule="exact"/>
        <w:jc w:val="left"/>
        <w:rPr>
          <w:rFonts w:ascii="宋体" w:hAnsi="宋体" w:cs="宋体"/>
          <w:b/>
          <w:bCs/>
        </w:rPr>
      </w:pPr>
      <w:bookmarkStart w:id="389" w:name="_Toc989278"/>
      <w:r>
        <w:rPr>
          <w:rFonts w:ascii="宋体" w:hAnsi="宋体" w:cs="宋体"/>
          <w:b/>
          <w:bCs/>
        </w:rPr>
        <w:t>64、管理费用</w:t>
      </w:r>
      <w:bookmarkEnd w:id="38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24,702,588.46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23,872,612.96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折旧与摊销</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14,103,515.16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12,101,370.02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办公费用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4,641,754.49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2,862,739.44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中介机构费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5,411,114.61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3,983,176.35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业务费用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2,229,738.64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1,441,844.89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行车费用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1,326,787.81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906,761.87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差旅费用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731,483.33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532,253.69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停工损失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3,916,833.46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6,701,947.11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7,092,300.00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1,902,246.67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2,496,345.73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1,718,440.84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66,652,461.69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56,023,393.84</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335376996"/>
        <w:rPr>
          <w:sz w:val="18"/>
          <w:szCs w:val="18"/>
        </w:rPr>
      </w:pPr>
    </w:p>
    <w:p w:rsidR="00E22F4C" w:rsidRDefault="00381575">
      <w:pPr>
        <w:pStyle w:val="3"/>
        <w:spacing w:line="280" w:lineRule="exact"/>
        <w:jc w:val="left"/>
        <w:rPr>
          <w:rFonts w:ascii="宋体" w:hAnsi="宋体" w:cs="宋体"/>
          <w:b/>
          <w:bCs/>
        </w:rPr>
      </w:pPr>
      <w:bookmarkStart w:id="390" w:name="_Toc989279"/>
      <w:r>
        <w:rPr>
          <w:rFonts w:ascii="宋体" w:hAnsi="宋体" w:cs="宋体"/>
          <w:b/>
          <w:bCs/>
        </w:rPr>
        <w:t>65、研发费用</w:t>
      </w:r>
      <w:bookmarkEnd w:id="39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直接材料</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49,774,362.01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54,300,378.16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直接人工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10,465,987.83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8,365,751.87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设备折旧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4,286,177.06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3,529,297.78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燃料动力</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639,078.09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690,888.87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1,669,511.02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649,384.93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66,835,116.01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67,535,701.61</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12338078"/>
        <w:rPr>
          <w:sz w:val="18"/>
          <w:szCs w:val="18"/>
        </w:rPr>
      </w:pPr>
    </w:p>
    <w:p w:rsidR="00E22F4C" w:rsidRDefault="00381575">
      <w:pPr>
        <w:pStyle w:val="3"/>
        <w:spacing w:line="280" w:lineRule="exact"/>
        <w:jc w:val="left"/>
        <w:rPr>
          <w:rFonts w:ascii="宋体" w:hAnsi="宋体" w:cs="宋体"/>
          <w:b/>
          <w:bCs/>
        </w:rPr>
      </w:pPr>
      <w:bookmarkStart w:id="391" w:name="_Toc989280"/>
      <w:r>
        <w:rPr>
          <w:rFonts w:ascii="宋体" w:hAnsi="宋体" w:cs="宋体"/>
          <w:b/>
          <w:bCs/>
        </w:rPr>
        <w:lastRenderedPageBreak/>
        <w:t>66、财务费用</w:t>
      </w:r>
      <w:bookmarkEnd w:id="39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56,079,097.64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43,833,834.01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减：银行利息收入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2,131,508.96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1,535,476.11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    关联方资金占用利息收入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239,649.71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汇兑损益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-11,892,229.83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920,709.29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手续费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689,218.86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512,293.84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42,744,577.71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43,491,711.32</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428237918"/>
        <w:rPr>
          <w:sz w:val="18"/>
          <w:szCs w:val="18"/>
        </w:rPr>
      </w:pPr>
    </w:p>
    <w:p w:rsidR="00E22F4C" w:rsidRDefault="00381575">
      <w:pPr>
        <w:pStyle w:val="3"/>
        <w:spacing w:line="280" w:lineRule="exact"/>
        <w:jc w:val="left"/>
        <w:rPr>
          <w:rFonts w:ascii="宋体" w:hAnsi="宋体" w:cs="宋体"/>
          <w:b/>
          <w:bCs/>
        </w:rPr>
      </w:pPr>
      <w:bookmarkStart w:id="392" w:name="_Toc989281"/>
      <w:r>
        <w:rPr>
          <w:rFonts w:ascii="宋体" w:hAnsi="宋体" w:cs="宋体"/>
          <w:b/>
          <w:bCs/>
        </w:rPr>
        <w:t>67、其他收益</w:t>
      </w:r>
      <w:bookmarkEnd w:id="39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产生其他收益的来源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高性能超细碳化钨循环技术改造项目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1,166,666.49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年产3000吨高性能碳化钨循环技改扩建项目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特种硬质合金生产线自动化技术改造项目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288,975.00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2021年第三批省级工业发展专项资金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91,666.77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重金属污染防治专项资金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200,252.10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200,252.10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2016年省级工业与信息发展专项资金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44,014.38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173,591.38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工业转型升级专项资金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130,000.06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129,999.96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200t/a硬质合金研发生产线技术改造项目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156,590.00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156,590.00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2017年省级治污保洁和节能减排专项资金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新型十五管还原炉双层推舟结构技术改造项目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2000T特种碳化钨粉全自动智能化扩产增效技改项目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江西翔鹭钨业2021年度地方经济贡献奖金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1,487,572.00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硬质合金销售奖励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1,026,800.00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工业企业电价补贴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2022年赣州智能标杆企业奖励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省国家级专精特新"小巨人"制造业"单项冠军"企业资金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2022年第一批省级工业发展（中小企业发展）专项资金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2021年专精特新小巨人制造业单项冠军资金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2020年度省级企业技术中心市级奖励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高新企业县级奖励资金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2020年度市级中小企业发展专项资金（第二批）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东莞市工业和信息化局2021年规上企业奖励款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东莞市2021年度外经贸发展专项资金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31,035.00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园区自主招聘经费补贴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东莞市数控刀具行业协会2020年大湾区展补贴款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38,170.50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《全市稀土钨产品销售奖励方法（暂行）》硬质合金产品奖励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1,510,100.00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2020年度高新技术企业补助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APT生产重金属废水处理设施升级改造工程补贴</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2020年省级商务发展专项资金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133,200.00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江西省名牌产品企业奖励资金/大余县市场监督管理局</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100,000.00</w:t>
            </w:r>
          </w:p>
        </w:tc>
      </w:tr>
    </w:tbl>
    <w:p w:rsidR="00E22F4C" w:rsidRDefault="00381575">
      <w:pPr>
        <w:pStyle w:val="3"/>
        <w:spacing w:line="280" w:lineRule="exact"/>
        <w:jc w:val="left"/>
        <w:rPr>
          <w:rFonts w:ascii="宋体" w:hAnsi="宋体" w:cs="宋体"/>
          <w:b/>
          <w:bCs/>
        </w:rPr>
      </w:pPr>
      <w:bookmarkStart w:id="393" w:name="_Toc989282"/>
      <w:r>
        <w:rPr>
          <w:rFonts w:ascii="宋体" w:hAnsi="宋体" w:cs="宋体"/>
          <w:b/>
          <w:bCs/>
        </w:rPr>
        <w:t>68、投资收益</w:t>
      </w:r>
      <w:bookmarkEnd w:id="39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处置以公允价值计量且其变动计入当期损益的金融资产取得的投资收益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-490,015.00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理财收益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747,185.08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257,170.08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653869764"/>
        <w:rPr>
          <w:sz w:val="18"/>
          <w:szCs w:val="18"/>
        </w:rPr>
      </w:pPr>
    </w:p>
    <w:p w:rsidR="00E22F4C" w:rsidRDefault="00381575">
      <w:pPr>
        <w:pStyle w:val="3"/>
        <w:spacing w:line="280" w:lineRule="exact"/>
        <w:jc w:val="left"/>
        <w:rPr>
          <w:rFonts w:ascii="宋体" w:hAnsi="宋体" w:cs="宋体"/>
          <w:b/>
          <w:bCs/>
        </w:rPr>
      </w:pPr>
      <w:bookmarkStart w:id="394" w:name="_Toc989283"/>
      <w:r>
        <w:rPr>
          <w:rFonts w:ascii="宋体" w:hAnsi="宋体" w:cs="宋体"/>
          <w:b/>
          <w:bCs/>
        </w:rPr>
        <w:t>69、净敞口套期收益</w:t>
      </w:r>
      <w:bookmarkEnd w:id="39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618295733"/>
        <w:rPr>
          <w:sz w:val="18"/>
          <w:szCs w:val="18"/>
        </w:rPr>
      </w:pPr>
    </w:p>
    <w:p w:rsidR="00E22F4C" w:rsidRDefault="00381575">
      <w:pPr>
        <w:pStyle w:val="3"/>
        <w:spacing w:line="280" w:lineRule="exact"/>
        <w:jc w:val="left"/>
        <w:rPr>
          <w:rFonts w:ascii="宋体" w:hAnsi="宋体" w:cs="宋体"/>
          <w:b/>
          <w:bCs/>
        </w:rPr>
      </w:pPr>
      <w:bookmarkStart w:id="395" w:name="_Toc989284"/>
      <w:r>
        <w:rPr>
          <w:rFonts w:ascii="宋体" w:hAnsi="宋体" w:cs="宋体"/>
          <w:b/>
          <w:bCs/>
        </w:rPr>
        <w:t>70、公允价值变动收益</w:t>
      </w:r>
      <w:bookmarkEnd w:id="39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产生公允价值变动收益的来源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其中：衍生金融工具产生的公允价值变动收益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009412522"/>
        <w:rPr>
          <w:sz w:val="18"/>
          <w:szCs w:val="18"/>
        </w:rPr>
      </w:pPr>
    </w:p>
    <w:p w:rsidR="00E22F4C" w:rsidRDefault="00381575">
      <w:pPr>
        <w:pStyle w:val="3"/>
        <w:spacing w:line="280" w:lineRule="exact"/>
        <w:jc w:val="left"/>
        <w:rPr>
          <w:rFonts w:ascii="宋体" w:hAnsi="宋体" w:cs="宋体"/>
          <w:b/>
          <w:bCs/>
        </w:rPr>
      </w:pPr>
      <w:bookmarkStart w:id="396" w:name="_Toc989285"/>
      <w:r>
        <w:rPr>
          <w:rFonts w:ascii="宋体" w:hAnsi="宋体" w:cs="宋体"/>
          <w:b/>
          <w:bCs/>
        </w:rPr>
        <w:t>71、信用减值损失</w:t>
      </w:r>
      <w:bookmarkEnd w:id="39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其他应收款坏账损失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988,900.66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2,283,201.76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应收票据坏账准备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46,102.44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应收账款坏账准备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-744,055.97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1,902,798.83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244,844.69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4,232,103.03</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610088751"/>
        <w:rPr>
          <w:sz w:val="18"/>
          <w:szCs w:val="18"/>
        </w:rPr>
      </w:pPr>
    </w:p>
    <w:p w:rsidR="00E22F4C" w:rsidRDefault="00381575">
      <w:pPr>
        <w:pStyle w:val="3"/>
        <w:spacing w:line="280" w:lineRule="exact"/>
        <w:jc w:val="left"/>
        <w:rPr>
          <w:rFonts w:ascii="宋体" w:hAnsi="宋体" w:cs="宋体"/>
          <w:b/>
          <w:bCs/>
        </w:rPr>
      </w:pPr>
      <w:bookmarkStart w:id="397" w:name="_Toc989286"/>
      <w:r>
        <w:rPr>
          <w:rFonts w:ascii="宋体" w:hAnsi="宋体" w:cs="宋体"/>
          <w:b/>
          <w:bCs/>
        </w:rPr>
        <w:t>72、资产减值损失</w:t>
      </w:r>
      <w:bookmarkEnd w:id="39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二、存货跌价损失及合同履约成本减值损失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-6,817,173.43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-3,447,097.61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十一、商誉减值损失</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-18,088,241.44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-2,479,689.37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-24,905,414.87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-5,926,786.98</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470513290"/>
        <w:rPr>
          <w:sz w:val="18"/>
          <w:szCs w:val="18"/>
        </w:rPr>
      </w:pPr>
    </w:p>
    <w:p w:rsidR="00E22F4C" w:rsidRDefault="00381575">
      <w:pPr>
        <w:pStyle w:val="3"/>
        <w:spacing w:line="280" w:lineRule="exact"/>
        <w:jc w:val="left"/>
        <w:rPr>
          <w:rFonts w:ascii="宋体" w:hAnsi="宋体" w:cs="宋体"/>
          <w:b/>
          <w:bCs/>
        </w:rPr>
      </w:pPr>
      <w:bookmarkStart w:id="398" w:name="_Toc989287"/>
      <w:r>
        <w:rPr>
          <w:rFonts w:ascii="宋体" w:hAnsi="宋体" w:cs="宋体"/>
          <w:b/>
          <w:bCs/>
        </w:rPr>
        <w:t>73、资产处置收益</w:t>
      </w:r>
      <w:bookmarkEnd w:id="39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资产处置收益的来源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处置固定资产收益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-17,784.34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-624,162.97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在建工程处置利得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-184,308.41</w:t>
            </w:r>
          </w:p>
        </w:tc>
      </w:tr>
    </w:tbl>
    <w:p w:rsidR="00E22F4C" w:rsidRDefault="00381575">
      <w:pPr>
        <w:pStyle w:val="3"/>
        <w:spacing w:line="280" w:lineRule="exact"/>
        <w:jc w:val="left"/>
        <w:rPr>
          <w:rFonts w:ascii="宋体" w:hAnsi="宋体" w:cs="宋体"/>
          <w:b/>
          <w:bCs/>
        </w:rPr>
      </w:pPr>
      <w:bookmarkStart w:id="399" w:name="_Toc989288"/>
      <w:r>
        <w:rPr>
          <w:rFonts w:ascii="宋体" w:hAnsi="宋体" w:cs="宋体"/>
          <w:b/>
          <w:bCs/>
        </w:rPr>
        <w:t>74、营业外收入</w:t>
      </w:r>
      <w:bookmarkEnd w:id="39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计入当期非经常性损益的金额</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政府补助</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55,600.00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496,765.30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82,720.82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496,765.30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496,765.30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138,320.82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496,765.30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计入当期损益的政府补助：</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补助项目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发放主体</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发放原因</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性质类型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补贴是否影响当年盈亏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是否特殊补贴</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与资产相关/与收益相关</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720738204"/>
        <w:rPr>
          <w:sz w:val="18"/>
          <w:szCs w:val="18"/>
        </w:rPr>
      </w:pPr>
    </w:p>
    <w:p w:rsidR="00E22F4C" w:rsidRDefault="00381575">
      <w:pPr>
        <w:pStyle w:val="3"/>
        <w:spacing w:line="280" w:lineRule="exact"/>
        <w:jc w:val="left"/>
        <w:rPr>
          <w:rFonts w:ascii="宋体" w:hAnsi="宋体" w:cs="宋体"/>
          <w:b/>
          <w:bCs/>
        </w:rPr>
      </w:pPr>
      <w:bookmarkStart w:id="400" w:name="_Toc989289"/>
      <w:r>
        <w:rPr>
          <w:rFonts w:ascii="宋体" w:hAnsi="宋体" w:cs="宋体"/>
          <w:b/>
          <w:bCs/>
        </w:rPr>
        <w:t>75、营业外支出</w:t>
      </w:r>
      <w:bookmarkEnd w:id="40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计入当期非经常性损益的金额</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对外捐赠</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560,000.00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765,973.45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560,000.00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固定资产报废损失</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1,728,031.50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325,215.03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1,728,031.50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其他支出</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586,208.31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79,853.49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586,208.31</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2,874,239.81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1,171,041.97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2,874,239.81</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088722173"/>
        <w:rPr>
          <w:sz w:val="18"/>
          <w:szCs w:val="18"/>
        </w:rPr>
      </w:pPr>
    </w:p>
    <w:p w:rsidR="00E22F4C" w:rsidRDefault="00381575">
      <w:pPr>
        <w:pStyle w:val="3"/>
        <w:spacing w:line="280" w:lineRule="exact"/>
        <w:jc w:val="left"/>
        <w:rPr>
          <w:rFonts w:ascii="宋体" w:hAnsi="宋体" w:cs="宋体"/>
          <w:b/>
          <w:bCs/>
        </w:rPr>
      </w:pPr>
      <w:bookmarkStart w:id="401" w:name="_Toc989290"/>
      <w:r>
        <w:rPr>
          <w:rFonts w:ascii="宋体" w:hAnsi="宋体" w:cs="宋体"/>
          <w:b/>
          <w:bCs/>
        </w:rPr>
        <w:t>76、所得税费用</w:t>
      </w:r>
      <w:bookmarkEnd w:id="401"/>
    </w:p>
    <w:p w:rsidR="00E22F4C" w:rsidRDefault="00381575">
      <w:pPr>
        <w:keepNext/>
        <w:keepLines/>
        <w:spacing w:before="300" w:after="300" w:line="280" w:lineRule="exact"/>
        <w:outlineLvl w:val="3"/>
        <w:rPr>
          <w:rFonts w:ascii="宋体" w:eastAsia="宋体" w:hAnsi="宋体" w:cs="宋体"/>
          <w:b/>
          <w:bCs/>
          <w:szCs w:val="21"/>
        </w:rPr>
      </w:pPr>
      <w:bookmarkStart w:id="402" w:name="_Toc989291"/>
      <w:r>
        <w:rPr>
          <w:rFonts w:ascii="宋体" w:eastAsia="宋体" w:hAnsi="宋体" w:cs="宋体"/>
          <w:b/>
          <w:bCs/>
          <w:szCs w:val="21"/>
        </w:rPr>
        <w:t>（1） 所得税费用表</w:t>
      </w:r>
      <w:bookmarkEnd w:id="40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当期所得税费用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-444,849.78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1,711,162.31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递延所得税费用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1,551,603.59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-5,349,463.46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1,106,753.81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-3,638,301.15</w:t>
            </w:r>
          </w:p>
        </w:tc>
      </w:tr>
    </w:tbl>
    <w:p w:rsidR="00E22F4C" w:rsidRDefault="00381575">
      <w:pPr>
        <w:keepNext/>
        <w:keepLines/>
        <w:spacing w:before="300" w:after="300" w:line="280" w:lineRule="exact"/>
        <w:outlineLvl w:val="3"/>
        <w:rPr>
          <w:rFonts w:ascii="宋体" w:eastAsia="宋体" w:hAnsi="宋体" w:cs="宋体"/>
          <w:b/>
          <w:bCs/>
          <w:szCs w:val="21"/>
        </w:rPr>
      </w:pPr>
      <w:bookmarkStart w:id="403" w:name="_Toc989292"/>
      <w:r>
        <w:rPr>
          <w:rFonts w:ascii="宋体" w:eastAsia="宋体" w:hAnsi="宋体" w:cs="宋体"/>
          <w:b/>
          <w:bCs/>
          <w:szCs w:val="21"/>
        </w:rPr>
        <w:t>（2） 会计利润与所得税费用调整过程</w:t>
      </w:r>
      <w:bookmarkEnd w:id="40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利润总额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-40,155,774.77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按法定/适用税率计算的所得税费用</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-6,023,366.21</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子公司适用不同税率的影响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1,355,936.78</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调整以前期间所得税的影响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-667,624.00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不可抵扣的成本、费用和损失的影响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619,955.38</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本期未确认递延所得税资产的可抵扣暂时性差异或可抵扣亏损的影响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8,610,841.97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本期使用提取的安全生产费的影响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-754,008.47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所得税税率变动的影响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技术开发费加计扣除的影响</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-2,034,981.63</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所得税费用</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1,106,753.81</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626735952"/>
        <w:rPr>
          <w:sz w:val="18"/>
          <w:szCs w:val="18"/>
        </w:rPr>
      </w:pPr>
    </w:p>
    <w:p w:rsidR="00E22F4C" w:rsidRDefault="00381575">
      <w:pPr>
        <w:pStyle w:val="3"/>
        <w:spacing w:line="280" w:lineRule="exact"/>
        <w:jc w:val="left"/>
        <w:rPr>
          <w:rFonts w:ascii="宋体" w:hAnsi="宋体" w:cs="宋体"/>
          <w:b/>
          <w:bCs/>
        </w:rPr>
      </w:pPr>
      <w:bookmarkStart w:id="404" w:name="_Toc989293"/>
      <w:r>
        <w:rPr>
          <w:rFonts w:ascii="宋体" w:hAnsi="宋体" w:cs="宋体"/>
          <w:b/>
          <w:bCs/>
        </w:rPr>
        <w:t>77、其他综合收益</w:t>
      </w:r>
      <w:bookmarkEnd w:id="404"/>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详见附注。</w:t>
      </w:r>
    </w:p>
    <w:p w:rsidR="00E22F4C" w:rsidRDefault="00381575">
      <w:pPr>
        <w:pStyle w:val="3"/>
        <w:spacing w:line="280" w:lineRule="exact"/>
        <w:jc w:val="left"/>
        <w:rPr>
          <w:rFonts w:ascii="宋体" w:hAnsi="宋体" w:cs="宋体"/>
          <w:b/>
          <w:bCs/>
        </w:rPr>
      </w:pPr>
      <w:bookmarkStart w:id="405" w:name="_Toc989294"/>
      <w:r>
        <w:rPr>
          <w:rFonts w:ascii="宋体" w:hAnsi="宋体" w:cs="宋体"/>
          <w:b/>
          <w:bCs/>
        </w:rPr>
        <w:t>78、现金流量表项目</w:t>
      </w:r>
      <w:bookmarkEnd w:id="405"/>
    </w:p>
    <w:p w:rsidR="00E22F4C" w:rsidRDefault="00381575">
      <w:pPr>
        <w:keepNext/>
        <w:keepLines/>
        <w:spacing w:before="300" w:after="300" w:line="280" w:lineRule="exact"/>
        <w:outlineLvl w:val="3"/>
        <w:rPr>
          <w:rFonts w:ascii="宋体" w:eastAsia="宋体" w:hAnsi="宋体" w:cs="宋体"/>
          <w:b/>
          <w:bCs/>
          <w:szCs w:val="21"/>
        </w:rPr>
      </w:pPr>
      <w:bookmarkStart w:id="406" w:name="_Toc989295"/>
      <w:r>
        <w:rPr>
          <w:rFonts w:ascii="宋体" w:eastAsia="宋体" w:hAnsi="宋体" w:cs="宋体"/>
          <w:b/>
          <w:bCs/>
          <w:szCs w:val="21"/>
        </w:rPr>
        <w:t>（1） 收到的其他与经营活动有关的现金</w:t>
      </w:r>
      <w:bookmarkEnd w:id="40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解押的银行承兑汇票保证金及保函保证金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204,894,664.06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180,405,782.56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收到的政府补助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16,860,094.23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780,749.98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收到的银行存款利息</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2,131,508.96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1,535,476.11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收到的往来款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2,593,331.02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817,972.14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582,390.52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121,330.70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227,061,988.79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183,661,311.49</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收到的其他与经营活动有关的现金说明：</w:t>
      </w:r>
    </w:p>
    <w:p w:rsidR="00E22F4C" w:rsidRDefault="00E22F4C">
      <w:pPr>
        <w:divId w:val="832911222"/>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07" w:name="_Toc989296"/>
      <w:r>
        <w:rPr>
          <w:rFonts w:ascii="宋体" w:eastAsia="宋体" w:hAnsi="宋体" w:cs="宋体"/>
          <w:b/>
          <w:bCs/>
          <w:szCs w:val="21"/>
        </w:rPr>
        <w:t>（2） 支付的其他与经营活动有关的现金</w:t>
      </w:r>
      <w:bookmarkEnd w:id="40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支付的银行承兑汇票保证金及保函保证金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182,158,725.22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191,028,921.21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支付销售费用和管理费用等</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85,736,099.22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77,578,690.88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捐赠支出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765,973.45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支付的往来款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597,448.68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1,625,681.33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586,208.31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160,111.53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269,638,481.43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271,159,378.40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支付的其他与经营活动有关的现金说明：</w:t>
      </w:r>
    </w:p>
    <w:p w:rsidR="00E22F4C" w:rsidRDefault="00E22F4C">
      <w:pPr>
        <w:divId w:val="266817481"/>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08" w:name="_Toc989297"/>
      <w:r>
        <w:rPr>
          <w:rFonts w:ascii="宋体" w:eastAsia="宋体" w:hAnsi="宋体" w:cs="宋体"/>
          <w:b/>
          <w:bCs/>
          <w:szCs w:val="21"/>
        </w:rPr>
        <w:t>（3） 收到的其他与投资活动有关的现金</w:t>
      </w:r>
      <w:bookmarkEnd w:id="40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收回以前年度拆出的关联方款项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22,903,804.02</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收到的理财产品收益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赎回银行理财产品投资款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25,000,000.00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47,903,804.02</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收到的其他与投资活动有关的现金说明：</w:t>
      </w:r>
    </w:p>
    <w:p w:rsidR="00E22F4C" w:rsidRDefault="00E22F4C">
      <w:pPr>
        <w:divId w:val="1389916318"/>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09" w:name="_Toc989298"/>
      <w:r>
        <w:rPr>
          <w:rFonts w:ascii="宋体" w:eastAsia="宋体" w:hAnsi="宋体" w:cs="宋体"/>
          <w:b/>
          <w:bCs/>
          <w:szCs w:val="21"/>
        </w:rPr>
        <w:t>（4） 支付的其他与投资活动有关的现金</w:t>
      </w:r>
      <w:bookmarkEnd w:id="40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归还以前年度拆入的关联方款项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支付银行理财产品投资款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15,000,000.00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24,700,000.00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支付的其他与投资活动有关的现金说明：</w:t>
      </w:r>
    </w:p>
    <w:p w:rsidR="00E22F4C" w:rsidRDefault="00E22F4C">
      <w:pPr>
        <w:divId w:val="850218180"/>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10" w:name="_Toc989299"/>
      <w:r>
        <w:rPr>
          <w:rFonts w:ascii="宋体" w:eastAsia="宋体" w:hAnsi="宋体" w:cs="宋体"/>
          <w:b/>
          <w:bCs/>
          <w:szCs w:val="21"/>
        </w:rPr>
        <w:t>（5） 收到的其他与筹资活动有关的现金</w:t>
      </w:r>
      <w:bookmarkEnd w:id="41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收到的其他与筹资活动有关的现金说明：</w:t>
      </w:r>
    </w:p>
    <w:p w:rsidR="00E22F4C" w:rsidRDefault="00E22F4C">
      <w:pPr>
        <w:divId w:val="622347315"/>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11" w:name="_Toc989300"/>
      <w:r>
        <w:rPr>
          <w:rFonts w:ascii="宋体" w:eastAsia="宋体" w:hAnsi="宋体" w:cs="宋体"/>
          <w:b/>
          <w:bCs/>
          <w:szCs w:val="21"/>
        </w:rPr>
        <w:t>（6） 支付的其他与筹资活动有关的现金</w:t>
      </w:r>
      <w:bookmarkEnd w:id="41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购买少数股权而支付给少数股东的现金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2,469,437.61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租赁所支付的现金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1,029,753.20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股权激励回购支付的现金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3,649,510.18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105,000.00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7,148,700.99</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支付的其他与筹资活动有关的现金说明：</w:t>
      </w:r>
    </w:p>
    <w:p w:rsidR="00E22F4C" w:rsidRDefault="00E22F4C">
      <w:pPr>
        <w:divId w:val="576476336"/>
        <w:rPr>
          <w:sz w:val="18"/>
          <w:szCs w:val="18"/>
        </w:rPr>
      </w:pPr>
    </w:p>
    <w:p w:rsidR="00E22F4C" w:rsidRDefault="00381575">
      <w:pPr>
        <w:pStyle w:val="3"/>
        <w:spacing w:line="280" w:lineRule="exact"/>
        <w:jc w:val="left"/>
        <w:rPr>
          <w:rFonts w:ascii="宋体" w:hAnsi="宋体" w:cs="宋体"/>
          <w:b/>
          <w:bCs/>
        </w:rPr>
      </w:pPr>
      <w:bookmarkStart w:id="412" w:name="_Toc989301"/>
      <w:r>
        <w:rPr>
          <w:rFonts w:ascii="宋体" w:hAnsi="宋体" w:cs="宋体"/>
          <w:b/>
          <w:bCs/>
        </w:rPr>
        <w:t>79、现金流量表补充资料</w:t>
      </w:r>
      <w:bookmarkEnd w:id="412"/>
    </w:p>
    <w:p w:rsidR="00E22F4C" w:rsidRDefault="00381575">
      <w:pPr>
        <w:keepNext/>
        <w:keepLines/>
        <w:spacing w:before="300" w:after="300" w:line="280" w:lineRule="exact"/>
        <w:outlineLvl w:val="3"/>
        <w:rPr>
          <w:rFonts w:ascii="宋体" w:eastAsia="宋体" w:hAnsi="宋体" w:cs="宋体"/>
          <w:b/>
          <w:bCs/>
          <w:szCs w:val="21"/>
        </w:rPr>
      </w:pPr>
      <w:bookmarkStart w:id="413" w:name="_Toc989302"/>
      <w:r>
        <w:rPr>
          <w:rFonts w:ascii="宋体" w:eastAsia="宋体" w:hAnsi="宋体" w:cs="宋体"/>
          <w:b/>
          <w:bCs/>
          <w:szCs w:val="21"/>
        </w:rPr>
        <w:t>（1） 现金流量表补充资料</w:t>
      </w:r>
      <w:bookmarkEnd w:id="41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补充资料</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上期金额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1．将净利润调节为经营活动现金流量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-41,262,528.58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24,749,950.04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加：资产减值准备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24,660,570.18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1,694,683.95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固定资产折旧、油气资产折耗、生产性生物资产折旧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75,409,424.74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68,666,549.36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使用权资产折旧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无形资产摊销</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2,993,277.94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3,170,782.96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长期待摊费用摊销</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4,041,679.74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4,737,534.63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处置固定资产、无形资产和其他长期资产的损失（收益以“－”号填列）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17,784.34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808,471.38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固定资产报废损失（收益以“－”号填列）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1,728,031.50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325,215.03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公允价值变动损失（收益以“－”号填列）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-504,264.00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财务费用（收益以“－”号填列）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28,946,146.09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48,768,911.36</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投资损失（收益以“－”号填列）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-257,170.08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递延所得税资产减少（增加以“－”号填列）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1,379,938.21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-4,790,160.69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递延所得税负债增加（减少以“－”号填列）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171,665.39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245,699.53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存货的减少（增加以“－”号填列）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23,677,615.07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-153,394,053.33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经营性应收项目的减少（增加</w:t>
            </w:r>
            <w:r>
              <w:rPr>
                <w:rFonts w:ascii="宋体" w:eastAsia="宋体" w:hAnsi="宋体" w:cs="宋体"/>
                <w:sz w:val="18"/>
                <w:szCs w:val="18"/>
              </w:rPr>
              <w:lastRenderedPageBreak/>
              <w:t>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-64,160,298.01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-34,200,305.64</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lastRenderedPageBreak/>
              <w:t>经营性应付项目的增加（减少以“－”号填列）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1,508,842.72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71,466,883.89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213,466.73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58,860,439.25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31,072,401.60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2．不涉及现金收支的重大投资和筹资活动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债务转为资本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一年内到期的可转换公司债券</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融资租入固定资产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3．现金及现金等价物净变动情况：</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现金的期末余额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64,227,367.49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134,323,936.11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减：现金的期初余额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134,323,936.11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123,633,768.79</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加：现金等价物的期末余额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减：现金等价物的期初余额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-70,096,568.62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10,690,167.32</w:t>
            </w:r>
          </w:p>
        </w:tc>
      </w:tr>
    </w:tbl>
    <w:p w:rsidR="00E22F4C" w:rsidRDefault="00381575">
      <w:pPr>
        <w:keepNext/>
        <w:keepLines/>
        <w:spacing w:before="300" w:after="300" w:line="280" w:lineRule="exact"/>
        <w:outlineLvl w:val="3"/>
        <w:rPr>
          <w:rFonts w:ascii="宋体" w:eastAsia="宋体" w:hAnsi="宋体" w:cs="宋体"/>
          <w:b/>
          <w:bCs/>
          <w:szCs w:val="21"/>
        </w:rPr>
      </w:pPr>
      <w:bookmarkStart w:id="414" w:name="_Toc989303"/>
      <w:r>
        <w:rPr>
          <w:rFonts w:ascii="宋体" w:eastAsia="宋体" w:hAnsi="宋体" w:cs="宋体"/>
          <w:b/>
          <w:bCs/>
          <w:szCs w:val="21"/>
        </w:rPr>
        <w:t>（2） 本期支付的取得子公司的现金净额</w:t>
      </w:r>
      <w:bookmarkEnd w:id="41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891967119"/>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15" w:name="_Toc989304"/>
      <w:r>
        <w:rPr>
          <w:rFonts w:ascii="宋体" w:eastAsia="宋体" w:hAnsi="宋体" w:cs="宋体"/>
          <w:b/>
          <w:bCs/>
          <w:szCs w:val="21"/>
        </w:rPr>
        <w:t>（3） 本期收到的处置子公司的现金净额</w:t>
      </w:r>
      <w:bookmarkEnd w:id="41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929998968"/>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16" w:name="_Toc989305"/>
      <w:r>
        <w:rPr>
          <w:rFonts w:ascii="宋体" w:eastAsia="宋体" w:hAnsi="宋体" w:cs="宋体"/>
          <w:b/>
          <w:bCs/>
          <w:szCs w:val="21"/>
        </w:rPr>
        <w:t>（4） 现金和现金等价物的构成</w:t>
      </w:r>
      <w:bookmarkEnd w:id="41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64,227,367.49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134,323,936.11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其中：库存现金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61,120.53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97,103.28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可随时用于支付的银行存款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64,166,246.96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134,226,832.83</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三、期末现金及现金等价物余额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64,227,367.49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134,323,936.11</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40360910"/>
        <w:rPr>
          <w:sz w:val="18"/>
          <w:szCs w:val="18"/>
        </w:rPr>
      </w:pPr>
    </w:p>
    <w:p w:rsidR="00E22F4C" w:rsidRDefault="00381575">
      <w:pPr>
        <w:pStyle w:val="3"/>
        <w:spacing w:line="280" w:lineRule="exact"/>
        <w:jc w:val="left"/>
        <w:rPr>
          <w:rFonts w:ascii="宋体" w:hAnsi="宋体" w:cs="宋体"/>
          <w:b/>
          <w:bCs/>
        </w:rPr>
      </w:pPr>
      <w:bookmarkStart w:id="417" w:name="_Toc989306"/>
      <w:r>
        <w:rPr>
          <w:rFonts w:ascii="宋体" w:hAnsi="宋体" w:cs="宋体"/>
          <w:b/>
          <w:bCs/>
        </w:rPr>
        <w:t>80、所有者权益变动表项目注释</w:t>
      </w:r>
      <w:bookmarkEnd w:id="41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说明对上年期末余额进行调整的“其他”项目名称及调整金额等事项：</w:t>
      </w:r>
    </w:p>
    <w:p w:rsidR="00E22F4C" w:rsidRDefault="00E22F4C">
      <w:pPr>
        <w:divId w:val="120925061"/>
        <w:rPr>
          <w:sz w:val="18"/>
          <w:szCs w:val="18"/>
        </w:rPr>
      </w:pPr>
    </w:p>
    <w:p w:rsidR="00E22F4C" w:rsidRDefault="00381575">
      <w:pPr>
        <w:pStyle w:val="3"/>
        <w:spacing w:line="280" w:lineRule="exact"/>
        <w:jc w:val="left"/>
        <w:rPr>
          <w:rFonts w:ascii="宋体" w:hAnsi="宋体" w:cs="宋体"/>
          <w:b/>
          <w:bCs/>
        </w:rPr>
      </w:pPr>
      <w:bookmarkStart w:id="418" w:name="_Toc989307"/>
      <w:r>
        <w:rPr>
          <w:rFonts w:ascii="宋体" w:hAnsi="宋体" w:cs="宋体"/>
          <w:b/>
          <w:bCs/>
        </w:rPr>
        <w:t>81、所有权或使用权受到限制的资产</w:t>
      </w:r>
      <w:bookmarkEnd w:id="41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受限原因</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86,652,826.62</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为本公司银行承兑汇票设置质押担保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183,061,438.83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为本公司银行借款设置抵押担保、查封登记</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48,694,206.08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为本公司银行借款及银行承兑汇票设置抵押担保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长期股权投资-子公司股权</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275,000,000.00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为本公司银行借款设置质押担保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593,408,471.53</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45824953"/>
        <w:rPr>
          <w:sz w:val="18"/>
          <w:szCs w:val="18"/>
        </w:rPr>
      </w:pPr>
    </w:p>
    <w:p w:rsidR="00E22F4C" w:rsidRDefault="00381575">
      <w:pPr>
        <w:pStyle w:val="3"/>
        <w:spacing w:line="280" w:lineRule="exact"/>
        <w:jc w:val="left"/>
        <w:rPr>
          <w:rFonts w:ascii="宋体" w:hAnsi="宋体" w:cs="宋体"/>
          <w:b/>
          <w:bCs/>
        </w:rPr>
      </w:pPr>
      <w:bookmarkStart w:id="419" w:name="_Toc989308"/>
      <w:r>
        <w:rPr>
          <w:rFonts w:ascii="宋体" w:hAnsi="宋体" w:cs="宋体"/>
          <w:b/>
          <w:bCs/>
        </w:rPr>
        <w:t>82、外币货币性项目</w:t>
      </w:r>
      <w:bookmarkEnd w:id="419"/>
    </w:p>
    <w:p w:rsidR="00E22F4C" w:rsidRDefault="00381575">
      <w:pPr>
        <w:keepNext/>
        <w:keepLines/>
        <w:spacing w:before="300" w:after="300" w:line="280" w:lineRule="exact"/>
        <w:outlineLvl w:val="3"/>
        <w:rPr>
          <w:rFonts w:ascii="宋体" w:eastAsia="宋体" w:hAnsi="宋体" w:cs="宋体"/>
          <w:b/>
          <w:bCs/>
          <w:szCs w:val="21"/>
        </w:rPr>
      </w:pPr>
      <w:bookmarkStart w:id="420" w:name="_Toc989309"/>
      <w:r>
        <w:rPr>
          <w:rFonts w:ascii="宋体" w:eastAsia="宋体" w:hAnsi="宋体" w:cs="宋体"/>
          <w:b/>
          <w:bCs/>
          <w:szCs w:val="21"/>
        </w:rPr>
        <w:t>（1） 外币货币性项目</w:t>
      </w:r>
      <w:bookmarkEnd w:id="42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期末外币余额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折算汇率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期末折算人民币余额</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4,892,974.40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702,549.05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4,892,973.12</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7.4229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瑞士法郎</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7.5432</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1.13</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应收账款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56,976,223.88</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8,180,832.19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56,976,223.88</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长期借款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333294545"/>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21" w:name="_Toc989310"/>
      <w:r>
        <w:rPr>
          <w:rFonts w:ascii="宋体" w:eastAsia="宋体" w:hAnsi="宋体" w:cs="宋体"/>
          <w:b/>
          <w:bCs/>
          <w:szCs w:val="21"/>
        </w:rPr>
        <w:t>（2） 境外经营实体说明，包括对于重要的境外经营实体，应披露其境外主要经营地、记账本位币及选择依据，记账本位币发生变化的还应披露原因。</w:t>
      </w:r>
      <w:bookmarkEnd w:id="42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422" w:name="_Toc989311"/>
      <w:r>
        <w:rPr>
          <w:rFonts w:ascii="宋体" w:hAnsi="宋体" w:cs="宋体"/>
          <w:b/>
          <w:bCs/>
        </w:rPr>
        <w:t>83、套期</w:t>
      </w:r>
      <w:bookmarkEnd w:id="42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按照套期类别披露套期项目及相关套期工具、被套期风险的定性和定量信息：</w:t>
      </w:r>
    </w:p>
    <w:p w:rsidR="00E22F4C" w:rsidRDefault="00E22F4C">
      <w:pPr>
        <w:divId w:val="459883043"/>
        <w:rPr>
          <w:sz w:val="18"/>
          <w:szCs w:val="18"/>
        </w:rPr>
      </w:pPr>
    </w:p>
    <w:p w:rsidR="00E22F4C" w:rsidRDefault="00381575">
      <w:pPr>
        <w:pStyle w:val="3"/>
        <w:spacing w:line="280" w:lineRule="exact"/>
        <w:jc w:val="left"/>
        <w:rPr>
          <w:rFonts w:ascii="宋体" w:hAnsi="宋体" w:cs="宋体"/>
          <w:b/>
          <w:bCs/>
        </w:rPr>
      </w:pPr>
      <w:bookmarkStart w:id="423" w:name="_Toc989312"/>
      <w:r>
        <w:rPr>
          <w:rFonts w:ascii="宋体" w:hAnsi="宋体" w:cs="宋体"/>
          <w:b/>
          <w:bCs/>
        </w:rPr>
        <w:t>84、政府补助</w:t>
      </w:r>
      <w:bookmarkEnd w:id="423"/>
    </w:p>
    <w:p w:rsidR="00E22F4C" w:rsidRDefault="00381575">
      <w:pPr>
        <w:keepNext/>
        <w:keepLines/>
        <w:spacing w:before="300" w:after="300" w:line="280" w:lineRule="exact"/>
        <w:outlineLvl w:val="3"/>
        <w:rPr>
          <w:rFonts w:ascii="宋体" w:eastAsia="宋体" w:hAnsi="宋体" w:cs="宋体"/>
          <w:b/>
          <w:bCs/>
          <w:szCs w:val="21"/>
        </w:rPr>
      </w:pPr>
      <w:bookmarkStart w:id="424" w:name="_Toc989313"/>
      <w:r>
        <w:rPr>
          <w:rFonts w:ascii="宋体" w:eastAsia="宋体" w:hAnsi="宋体" w:cs="宋体"/>
          <w:b/>
          <w:bCs/>
          <w:szCs w:val="21"/>
        </w:rPr>
        <w:t>（1） 政府补助基本情况</w:t>
      </w:r>
      <w:bookmarkEnd w:id="42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种类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列报项目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计入当期损益的金额</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与收益相关</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4,465,358.34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财务费用</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4,465,358.34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与资产相关</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2,748,164.80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2,748,164.80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与收益相关</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6,214,372.00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6,214,372.00</w:t>
            </w:r>
          </w:p>
        </w:tc>
      </w:tr>
    </w:tbl>
    <w:p w:rsidR="00E22F4C" w:rsidRDefault="00381575">
      <w:pPr>
        <w:keepNext/>
        <w:keepLines/>
        <w:spacing w:before="300" w:after="300" w:line="280" w:lineRule="exact"/>
        <w:outlineLvl w:val="3"/>
        <w:rPr>
          <w:rFonts w:ascii="宋体" w:eastAsia="宋体" w:hAnsi="宋体" w:cs="宋体"/>
          <w:b/>
          <w:bCs/>
          <w:szCs w:val="21"/>
        </w:rPr>
      </w:pPr>
      <w:bookmarkStart w:id="425" w:name="_Toc989314"/>
      <w:r>
        <w:rPr>
          <w:rFonts w:ascii="宋体" w:eastAsia="宋体" w:hAnsi="宋体" w:cs="宋体"/>
          <w:b/>
          <w:bCs/>
          <w:szCs w:val="21"/>
        </w:rPr>
        <w:t>（2） 政府补助退回情况</w:t>
      </w:r>
      <w:bookmarkEnd w:id="42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907183685"/>
        <w:rPr>
          <w:sz w:val="18"/>
          <w:szCs w:val="18"/>
        </w:rPr>
      </w:pPr>
    </w:p>
    <w:p w:rsidR="00E22F4C" w:rsidRDefault="00381575">
      <w:pPr>
        <w:pStyle w:val="3"/>
        <w:spacing w:line="280" w:lineRule="exact"/>
        <w:jc w:val="left"/>
        <w:rPr>
          <w:rFonts w:ascii="宋体" w:hAnsi="宋体" w:cs="宋体"/>
          <w:b/>
          <w:bCs/>
        </w:rPr>
      </w:pPr>
      <w:bookmarkStart w:id="426" w:name="_Toc989315"/>
      <w:r>
        <w:rPr>
          <w:rFonts w:ascii="宋体" w:hAnsi="宋体" w:cs="宋体"/>
          <w:b/>
          <w:bCs/>
        </w:rPr>
        <w:t>85、其他</w:t>
      </w:r>
      <w:bookmarkEnd w:id="426"/>
    </w:p>
    <w:p w:rsidR="00E22F4C" w:rsidRDefault="00E22F4C">
      <w:pPr>
        <w:divId w:val="1924950264"/>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427" w:name="_Toc989316"/>
      <w:r>
        <w:rPr>
          <w:rFonts w:ascii="宋体" w:eastAsia="宋体" w:hAnsi="宋体" w:cs="宋体"/>
          <w:b/>
          <w:bCs/>
          <w:sz w:val="24"/>
          <w:szCs w:val="24"/>
        </w:rPr>
        <w:t>八、合并范围的变更</w:t>
      </w:r>
      <w:bookmarkEnd w:id="427"/>
    </w:p>
    <w:p w:rsidR="00E22F4C" w:rsidRDefault="00381575">
      <w:pPr>
        <w:pStyle w:val="3"/>
        <w:spacing w:line="280" w:lineRule="exact"/>
        <w:jc w:val="left"/>
        <w:rPr>
          <w:rFonts w:ascii="宋体" w:hAnsi="宋体" w:cs="宋体"/>
          <w:b/>
          <w:bCs/>
        </w:rPr>
      </w:pPr>
      <w:bookmarkStart w:id="428" w:name="_Toc989317"/>
      <w:r>
        <w:rPr>
          <w:rFonts w:ascii="宋体" w:hAnsi="宋体" w:cs="宋体"/>
          <w:b/>
          <w:bCs/>
        </w:rPr>
        <w:t>1、非同一控制下企业合并</w:t>
      </w:r>
      <w:bookmarkEnd w:id="428"/>
    </w:p>
    <w:p w:rsidR="00E22F4C" w:rsidRDefault="00381575">
      <w:pPr>
        <w:keepNext/>
        <w:keepLines/>
        <w:spacing w:before="300" w:after="300" w:line="280" w:lineRule="exact"/>
        <w:outlineLvl w:val="3"/>
        <w:rPr>
          <w:rFonts w:ascii="宋体" w:eastAsia="宋体" w:hAnsi="宋体" w:cs="宋体"/>
          <w:b/>
          <w:bCs/>
          <w:sz w:val="18"/>
          <w:szCs w:val="18"/>
        </w:rPr>
      </w:pPr>
      <w:bookmarkStart w:id="429" w:name="_Toc989318"/>
      <w:r>
        <w:rPr>
          <w:rFonts w:ascii="宋体" w:eastAsia="宋体" w:hAnsi="宋体" w:cs="宋体"/>
          <w:b/>
          <w:bCs/>
          <w:sz w:val="18"/>
          <w:szCs w:val="18"/>
        </w:rPr>
        <w:t>（1） 本期发生的非同一控制下企业合并</w:t>
      </w:r>
      <w:bookmarkEnd w:id="42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被购买方名称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股权取得时点</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股权取得成本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股权取得比例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股权取得方式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购买日的确定依据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购买日至期末被购买方的收入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购买日至期末被购买方的净利润</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012487344"/>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30" w:name="_Toc989319"/>
      <w:r>
        <w:rPr>
          <w:rFonts w:ascii="宋体" w:eastAsia="宋体" w:hAnsi="宋体" w:cs="宋体"/>
          <w:b/>
          <w:bCs/>
          <w:sz w:val="18"/>
          <w:szCs w:val="18"/>
        </w:rPr>
        <w:lastRenderedPageBreak/>
        <w:t>（2） 合并成本及商誉</w:t>
      </w:r>
      <w:bookmarkEnd w:id="43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合并成本</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--现金</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--非现金资产的公允价值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--发行或承担的债务的公允价值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--发行的权益性证券的公允价值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--或有对价的公允价值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--购买日之前持有的股权于购买日的公允价值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合并成本合计</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减：取得的可辨认净资产公允价值份额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商誉/合并成本小于取得的可辨认净资产公允价值份额的金额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合并成本公允价值的确定方法、或有对价及其变动的说明：</w:t>
      </w:r>
    </w:p>
    <w:p w:rsidR="00E22F4C" w:rsidRDefault="00E22F4C">
      <w:pPr>
        <w:divId w:val="1288781797"/>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大额商誉形成的主要原因：</w:t>
      </w:r>
    </w:p>
    <w:p w:rsidR="00E22F4C" w:rsidRDefault="00E22F4C">
      <w:pPr>
        <w:divId w:val="1395082097"/>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481585858"/>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31" w:name="_Toc989320"/>
      <w:r>
        <w:rPr>
          <w:rFonts w:ascii="宋体" w:eastAsia="宋体" w:hAnsi="宋体" w:cs="宋体"/>
          <w:b/>
          <w:bCs/>
          <w:sz w:val="18"/>
          <w:szCs w:val="18"/>
        </w:rPr>
        <w:t>（3） 被购买方于购买日可辨认资产、负债</w:t>
      </w:r>
      <w:bookmarkEnd w:id="43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r>
      <w:tr w:rsidR="00E22F4C">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购买日公允价值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购买日账面价值</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应收款项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应付款项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净资产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减：少数股东权益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取得的净资产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可辨认资产、负债公允价值的确定方法：</w:t>
      </w:r>
    </w:p>
    <w:p w:rsidR="00E22F4C" w:rsidRDefault="00E22F4C">
      <w:pPr>
        <w:divId w:val="322121406"/>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企业合并中承担的被购买方的或有负债：</w:t>
      </w:r>
    </w:p>
    <w:p w:rsidR="00E22F4C" w:rsidRDefault="00E22F4C">
      <w:pPr>
        <w:divId w:val="1600019172"/>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121485079"/>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32" w:name="_Toc989321"/>
      <w:r>
        <w:rPr>
          <w:rFonts w:ascii="宋体" w:eastAsia="宋体" w:hAnsi="宋体" w:cs="宋体"/>
          <w:b/>
          <w:bCs/>
          <w:sz w:val="18"/>
          <w:szCs w:val="18"/>
        </w:rPr>
        <w:t>（4） 购买日之前持有的股权按照公允价值重新计量产生的利得或损失</w:t>
      </w:r>
      <w:bookmarkEnd w:id="43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是否存在通过多次交易分步实现企业合并且在报告期内取得控制权的交易</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keepNext/>
        <w:keepLines/>
        <w:spacing w:before="300" w:after="300" w:line="280" w:lineRule="exact"/>
        <w:outlineLvl w:val="3"/>
        <w:rPr>
          <w:rFonts w:ascii="宋体" w:eastAsia="宋体" w:hAnsi="宋体" w:cs="宋体"/>
          <w:b/>
          <w:bCs/>
          <w:sz w:val="18"/>
          <w:szCs w:val="18"/>
        </w:rPr>
      </w:pPr>
      <w:bookmarkStart w:id="433" w:name="_Toc989322"/>
      <w:r>
        <w:rPr>
          <w:rFonts w:ascii="宋体" w:eastAsia="宋体" w:hAnsi="宋体" w:cs="宋体"/>
          <w:b/>
          <w:bCs/>
          <w:sz w:val="18"/>
          <w:szCs w:val="18"/>
        </w:rPr>
        <w:t>（5） 购买日或合并当期期末无法合理确定合并对价或被购买方可辨认资产、负债公允价值的相关说明</w:t>
      </w:r>
      <w:bookmarkEnd w:id="433"/>
    </w:p>
    <w:p w:rsidR="00E22F4C" w:rsidRDefault="00E22F4C">
      <w:pPr>
        <w:divId w:val="2075228486"/>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34" w:name="_Toc989323"/>
      <w:r>
        <w:rPr>
          <w:rFonts w:ascii="宋体" w:eastAsia="宋体" w:hAnsi="宋体" w:cs="宋体"/>
          <w:b/>
          <w:bCs/>
          <w:sz w:val="18"/>
          <w:szCs w:val="18"/>
        </w:rPr>
        <w:t>（6） 其他说明</w:t>
      </w:r>
      <w:bookmarkEnd w:id="434"/>
    </w:p>
    <w:p w:rsidR="00E22F4C" w:rsidRDefault="00E22F4C">
      <w:pPr>
        <w:divId w:val="300159794"/>
        <w:rPr>
          <w:sz w:val="18"/>
          <w:szCs w:val="18"/>
        </w:rPr>
      </w:pPr>
    </w:p>
    <w:p w:rsidR="00E22F4C" w:rsidRDefault="00381575">
      <w:pPr>
        <w:pStyle w:val="3"/>
        <w:spacing w:line="280" w:lineRule="exact"/>
        <w:jc w:val="left"/>
        <w:rPr>
          <w:rFonts w:ascii="宋体" w:hAnsi="宋体" w:cs="宋体"/>
          <w:b/>
          <w:bCs/>
        </w:rPr>
      </w:pPr>
      <w:bookmarkStart w:id="435" w:name="_Toc989324"/>
      <w:r>
        <w:rPr>
          <w:rFonts w:ascii="宋体" w:hAnsi="宋体" w:cs="宋体"/>
          <w:b/>
          <w:bCs/>
        </w:rPr>
        <w:t>2、同一控制下企业合并</w:t>
      </w:r>
      <w:bookmarkEnd w:id="435"/>
    </w:p>
    <w:p w:rsidR="00E22F4C" w:rsidRDefault="00381575">
      <w:pPr>
        <w:keepNext/>
        <w:keepLines/>
        <w:spacing w:before="300" w:after="300" w:line="280" w:lineRule="exact"/>
        <w:outlineLvl w:val="3"/>
        <w:rPr>
          <w:rFonts w:ascii="宋体" w:eastAsia="宋体" w:hAnsi="宋体" w:cs="宋体"/>
          <w:b/>
          <w:bCs/>
          <w:sz w:val="18"/>
          <w:szCs w:val="18"/>
        </w:rPr>
      </w:pPr>
      <w:bookmarkStart w:id="436" w:name="_Toc989325"/>
      <w:r>
        <w:rPr>
          <w:rFonts w:ascii="宋体" w:eastAsia="宋体" w:hAnsi="宋体" w:cs="宋体"/>
          <w:b/>
          <w:bCs/>
          <w:sz w:val="18"/>
          <w:szCs w:val="18"/>
        </w:rPr>
        <w:t>（1） 本期发生的同一控制下企业合并</w:t>
      </w:r>
      <w:bookmarkEnd w:id="43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被合并方名称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企业合并中取得的权益比例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构成同一控制下企业合并的依据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合并日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合并日的确定依据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合并当期期初至合并日被合并方的收入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合并当期期初至合并日被合并方的净利润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比较期间被合并方的收入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比较期间被合并方的净利润</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55791821"/>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37" w:name="_Toc989326"/>
      <w:r>
        <w:rPr>
          <w:rFonts w:ascii="宋体" w:eastAsia="宋体" w:hAnsi="宋体" w:cs="宋体"/>
          <w:b/>
          <w:bCs/>
          <w:sz w:val="18"/>
          <w:szCs w:val="18"/>
        </w:rPr>
        <w:t>（2） 合并成本</w:t>
      </w:r>
      <w:bookmarkEnd w:id="43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合并成本</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--现金</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--非现金资产的账面价值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--发行或承担的债务的账面价值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--发行的权益性证券的面值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--或有对价</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或有对价及其变动的说明：</w:t>
      </w:r>
    </w:p>
    <w:p w:rsidR="00E22F4C" w:rsidRDefault="00E22F4C">
      <w:pPr>
        <w:divId w:val="345328688"/>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79917198"/>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38" w:name="_Toc989327"/>
      <w:r>
        <w:rPr>
          <w:rFonts w:ascii="宋体" w:eastAsia="宋体" w:hAnsi="宋体" w:cs="宋体"/>
          <w:b/>
          <w:bCs/>
          <w:sz w:val="18"/>
          <w:szCs w:val="18"/>
        </w:rPr>
        <w:t>（3） 合并日被合并方资产、负债的账面价值</w:t>
      </w:r>
      <w:bookmarkEnd w:id="43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6426" w:type="dxa"/>
            <w:gridSpan w:val="2"/>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r>
      <w:tr w:rsidR="00E22F4C">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合并日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上期期末</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应收款项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应付款项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净资产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减：少数股东权益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取得的净资产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企业合并中承担的被合并方的或有负债：</w:t>
      </w:r>
    </w:p>
    <w:p w:rsidR="00E22F4C" w:rsidRDefault="00E22F4C">
      <w:pPr>
        <w:divId w:val="523519093"/>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14369515"/>
        <w:rPr>
          <w:sz w:val="18"/>
          <w:szCs w:val="18"/>
        </w:rPr>
      </w:pPr>
    </w:p>
    <w:p w:rsidR="00E22F4C" w:rsidRDefault="00381575">
      <w:pPr>
        <w:pStyle w:val="3"/>
        <w:spacing w:line="280" w:lineRule="exact"/>
        <w:jc w:val="left"/>
        <w:rPr>
          <w:rFonts w:ascii="宋体" w:hAnsi="宋体" w:cs="宋体"/>
          <w:b/>
          <w:bCs/>
        </w:rPr>
      </w:pPr>
      <w:bookmarkStart w:id="439" w:name="_Toc989328"/>
      <w:r>
        <w:rPr>
          <w:rFonts w:ascii="宋体" w:hAnsi="宋体" w:cs="宋体"/>
          <w:b/>
          <w:bCs/>
        </w:rPr>
        <w:t>3、反向购买</w:t>
      </w:r>
      <w:bookmarkEnd w:id="43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交易基本信息、交易构成反向购买的依据、上市公司保留的资产、负债是否构成业务及其依据、合并成本的确定、按照权益性交易处理时调整权益的金额及其计算：</w:t>
      </w:r>
    </w:p>
    <w:p w:rsidR="00E22F4C" w:rsidRDefault="00E22F4C">
      <w:pPr>
        <w:divId w:val="1769234332"/>
        <w:rPr>
          <w:sz w:val="18"/>
          <w:szCs w:val="18"/>
        </w:rPr>
      </w:pPr>
    </w:p>
    <w:p w:rsidR="00E22F4C" w:rsidRDefault="00381575">
      <w:pPr>
        <w:pStyle w:val="3"/>
        <w:spacing w:line="280" w:lineRule="exact"/>
        <w:jc w:val="left"/>
        <w:rPr>
          <w:rFonts w:ascii="宋体" w:hAnsi="宋体" w:cs="宋体"/>
          <w:b/>
          <w:bCs/>
        </w:rPr>
      </w:pPr>
      <w:bookmarkStart w:id="440" w:name="_Toc989329"/>
      <w:r>
        <w:rPr>
          <w:rFonts w:ascii="宋体" w:hAnsi="宋体" w:cs="宋体"/>
          <w:b/>
          <w:bCs/>
        </w:rPr>
        <w:t>4、处置子公司</w:t>
      </w:r>
      <w:bookmarkEnd w:id="440"/>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是否存在单次处置对子公司投资即丧失控制权的情形</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是否存在通过多次交易分步处置对子公司投资且在本期丧失控制权的情形</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E22F4C" w:rsidRDefault="00381575">
      <w:pPr>
        <w:pStyle w:val="3"/>
        <w:spacing w:line="280" w:lineRule="exact"/>
        <w:jc w:val="left"/>
        <w:rPr>
          <w:rFonts w:ascii="宋体" w:hAnsi="宋体" w:cs="宋体"/>
          <w:b/>
          <w:bCs/>
        </w:rPr>
      </w:pPr>
      <w:bookmarkStart w:id="441" w:name="_Toc989330"/>
      <w:r>
        <w:rPr>
          <w:rFonts w:ascii="宋体" w:hAnsi="宋体" w:cs="宋体"/>
          <w:b/>
          <w:bCs/>
        </w:rPr>
        <w:t>5、其他原因的合并范围变动</w:t>
      </w:r>
      <w:bookmarkEnd w:id="44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说明其他原因导致的合并范围变动（如，新设子公司、清算子公司等）及其相关情况：</w:t>
      </w:r>
    </w:p>
    <w:p w:rsidR="00E22F4C" w:rsidRDefault="00E22F4C">
      <w:pPr>
        <w:divId w:val="223956920"/>
        <w:rPr>
          <w:sz w:val="18"/>
          <w:szCs w:val="18"/>
        </w:rPr>
      </w:pPr>
    </w:p>
    <w:p w:rsidR="00E22F4C" w:rsidRDefault="00381575">
      <w:pPr>
        <w:pStyle w:val="3"/>
        <w:spacing w:line="280" w:lineRule="exact"/>
        <w:jc w:val="left"/>
        <w:rPr>
          <w:rFonts w:ascii="宋体" w:hAnsi="宋体" w:cs="宋体"/>
          <w:b/>
          <w:bCs/>
        </w:rPr>
      </w:pPr>
      <w:bookmarkStart w:id="442" w:name="_Toc989331"/>
      <w:r>
        <w:rPr>
          <w:rFonts w:ascii="宋体" w:hAnsi="宋体" w:cs="宋体"/>
          <w:b/>
          <w:bCs/>
        </w:rPr>
        <w:lastRenderedPageBreak/>
        <w:t>6、其他</w:t>
      </w:r>
      <w:bookmarkEnd w:id="442"/>
    </w:p>
    <w:p w:rsidR="00E22F4C" w:rsidRDefault="00E22F4C">
      <w:pPr>
        <w:divId w:val="709110470"/>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443" w:name="_Toc989332"/>
      <w:r>
        <w:rPr>
          <w:rFonts w:ascii="宋体" w:eastAsia="宋体" w:hAnsi="宋体" w:cs="宋体"/>
          <w:b/>
          <w:bCs/>
          <w:sz w:val="24"/>
          <w:szCs w:val="24"/>
        </w:rPr>
        <w:t>九、在其他主体中的权益</w:t>
      </w:r>
      <w:bookmarkEnd w:id="443"/>
    </w:p>
    <w:p w:rsidR="00E22F4C" w:rsidRDefault="00381575">
      <w:pPr>
        <w:pStyle w:val="3"/>
        <w:spacing w:line="280" w:lineRule="exact"/>
        <w:jc w:val="left"/>
        <w:rPr>
          <w:rFonts w:ascii="宋体" w:hAnsi="宋体" w:cs="宋体"/>
          <w:b/>
          <w:bCs/>
        </w:rPr>
      </w:pPr>
      <w:bookmarkStart w:id="444" w:name="_Toc989333"/>
      <w:r>
        <w:rPr>
          <w:rFonts w:ascii="宋体" w:hAnsi="宋体" w:cs="宋体"/>
          <w:b/>
          <w:bCs/>
        </w:rPr>
        <w:t>1、在子公司中的权益</w:t>
      </w:r>
      <w:bookmarkEnd w:id="444"/>
    </w:p>
    <w:p w:rsidR="00E22F4C" w:rsidRDefault="00381575">
      <w:pPr>
        <w:keepNext/>
        <w:keepLines/>
        <w:spacing w:before="300" w:after="300" w:line="280" w:lineRule="exact"/>
        <w:outlineLvl w:val="3"/>
        <w:rPr>
          <w:rFonts w:ascii="宋体" w:eastAsia="宋体" w:hAnsi="宋体" w:cs="宋体"/>
          <w:b/>
          <w:bCs/>
          <w:sz w:val="18"/>
          <w:szCs w:val="18"/>
        </w:rPr>
      </w:pPr>
      <w:bookmarkStart w:id="445" w:name="_Toc989334"/>
      <w:r>
        <w:rPr>
          <w:rFonts w:ascii="宋体" w:eastAsia="宋体" w:hAnsi="宋体" w:cs="宋体"/>
          <w:b/>
          <w:bCs/>
          <w:sz w:val="18"/>
          <w:szCs w:val="18"/>
        </w:rPr>
        <w:t>（1） 企业集团的构成</w:t>
      </w:r>
      <w:bookmarkEnd w:id="445"/>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主要经营地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取得方式</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直接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间接</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广东翔鹭精密制造有限公司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投资设立</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东莞市翔鹭精密工具有限公司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东莞</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东莞</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批发和零售业</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非同一控制下的企业合并</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江西翔鹭精密制造有限公司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投资设立</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非同一控制下的企业合并</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大余隆鑫泰金属材料有限公司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非同一控制下的企业合并</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大余隆鑫泰矿业有限公司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采矿业</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非同一控制下的企业合并</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大余县新城海德材料有限公司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非同一控制下的企业合并</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在子公司的持股比例不同于表决权比例的说明：</w:t>
      </w:r>
    </w:p>
    <w:p w:rsidR="00E22F4C" w:rsidRDefault="00E22F4C">
      <w:pPr>
        <w:divId w:val="547301943"/>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持有半数或以下表决权但仍控制被投资单位、以及持有半数以上表决权但不控制被投资单位的依据：</w:t>
      </w:r>
    </w:p>
    <w:p w:rsidR="00E22F4C" w:rsidRDefault="00E22F4C">
      <w:pPr>
        <w:divId w:val="182287152"/>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对于纳入合并范围的重要的结构化主体，控制的依据：</w:t>
      </w:r>
    </w:p>
    <w:p w:rsidR="00E22F4C" w:rsidRDefault="00E22F4C">
      <w:pPr>
        <w:divId w:val="353574441"/>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确定公司是代理人还是委托人的依据：</w:t>
      </w:r>
    </w:p>
    <w:p w:rsidR="00E22F4C" w:rsidRDefault="00E22F4C">
      <w:pPr>
        <w:divId w:val="1060246886"/>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376538530"/>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46" w:name="_Toc989335"/>
      <w:r>
        <w:rPr>
          <w:rFonts w:ascii="宋体" w:eastAsia="宋体" w:hAnsi="宋体" w:cs="宋体"/>
          <w:b/>
          <w:bCs/>
          <w:sz w:val="18"/>
          <w:szCs w:val="18"/>
        </w:rPr>
        <w:t>（2） 重要的非全资子公司</w:t>
      </w:r>
      <w:bookmarkEnd w:id="44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少数股东持股比例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本期归属于少数股东的损益</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本期向少数股东宣告分派的股利</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期末少数股东权益余额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子公司少数股东的持股比例不同于表决权比例的说明：</w:t>
      </w:r>
    </w:p>
    <w:p w:rsidR="00E22F4C" w:rsidRDefault="00E22F4C">
      <w:pPr>
        <w:divId w:val="404574787"/>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其他说明：</w:t>
      </w:r>
    </w:p>
    <w:p w:rsidR="00E22F4C" w:rsidRDefault="00E22F4C">
      <w:pPr>
        <w:divId w:val="1958101152"/>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47" w:name="_Toc989336"/>
      <w:r>
        <w:rPr>
          <w:rFonts w:ascii="宋体" w:eastAsia="宋体" w:hAnsi="宋体" w:cs="宋体"/>
          <w:b/>
          <w:bCs/>
          <w:sz w:val="18"/>
          <w:szCs w:val="18"/>
        </w:rPr>
        <w:t>（3） 重要非全资子公司的主要财务信息</w:t>
      </w:r>
      <w:bookmarkEnd w:id="44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1"/>
        <w:gridCol w:w="741"/>
        <w:gridCol w:w="741"/>
        <w:gridCol w:w="741"/>
        <w:gridCol w:w="741"/>
        <w:gridCol w:w="741"/>
        <w:gridCol w:w="744"/>
        <w:gridCol w:w="741"/>
        <w:gridCol w:w="741"/>
        <w:gridCol w:w="741"/>
        <w:gridCol w:w="741"/>
        <w:gridCol w:w="741"/>
        <w:gridCol w:w="744"/>
      </w:tblGrid>
      <w:tr w:rsidR="00E22F4C">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444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44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非流动资产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资产合计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非流动负债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负债合计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非流动资产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资产合计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非流动负债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负债合计</w:t>
            </w:r>
          </w:p>
        </w:tc>
      </w:tr>
    </w:tbl>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E22F4C">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综合收益总额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经营活动现金流量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综合收益总额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经营活动现金流量</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904362862"/>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48" w:name="_Toc989337"/>
      <w:r>
        <w:rPr>
          <w:rFonts w:ascii="宋体" w:eastAsia="宋体" w:hAnsi="宋体" w:cs="宋体"/>
          <w:b/>
          <w:bCs/>
          <w:sz w:val="18"/>
          <w:szCs w:val="18"/>
        </w:rPr>
        <w:t>（4） 使用企业集团资产和清偿企业集团债务的重大限制</w:t>
      </w:r>
      <w:bookmarkEnd w:id="448"/>
    </w:p>
    <w:p w:rsidR="00E22F4C" w:rsidRDefault="00E22F4C">
      <w:pPr>
        <w:divId w:val="128521127"/>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49" w:name="_Toc989338"/>
      <w:r>
        <w:rPr>
          <w:rFonts w:ascii="宋体" w:eastAsia="宋体" w:hAnsi="宋体" w:cs="宋体"/>
          <w:b/>
          <w:bCs/>
          <w:sz w:val="18"/>
          <w:szCs w:val="18"/>
        </w:rPr>
        <w:t>（5） 向纳入合并财务报表范围的结构化主体提供的财务支持或其他支持</w:t>
      </w:r>
      <w:bookmarkEnd w:id="449"/>
    </w:p>
    <w:p w:rsidR="00E22F4C" w:rsidRDefault="00E22F4C">
      <w:pPr>
        <w:divId w:val="1607813324"/>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559978381"/>
        <w:rPr>
          <w:sz w:val="18"/>
          <w:szCs w:val="18"/>
        </w:rPr>
      </w:pPr>
    </w:p>
    <w:p w:rsidR="00E22F4C" w:rsidRDefault="00381575">
      <w:pPr>
        <w:pStyle w:val="3"/>
        <w:spacing w:line="280" w:lineRule="exact"/>
        <w:jc w:val="left"/>
        <w:rPr>
          <w:rFonts w:ascii="宋体" w:hAnsi="宋体" w:cs="宋体"/>
          <w:b/>
          <w:bCs/>
        </w:rPr>
      </w:pPr>
      <w:bookmarkStart w:id="450" w:name="_Toc989339"/>
      <w:r>
        <w:rPr>
          <w:rFonts w:ascii="宋体" w:hAnsi="宋体" w:cs="宋体"/>
          <w:b/>
          <w:bCs/>
        </w:rPr>
        <w:t>2、在子公司的所有者权益份额发生变化且仍控制子公司的交易</w:t>
      </w:r>
      <w:bookmarkEnd w:id="450"/>
    </w:p>
    <w:p w:rsidR="00E22F4C" w:rsidRDefault="00381575">
      <w:pPr>
        <w:keepNext/>
        <w:keepLines/>
        <w:spacing w:before="300" w:after="300" w:line="280" w:lineRule="exact"/>
        <w:outlineLvl w:val="3"/>
        <w:rPr>
          <w:rFonts w:ascii="宋体" w:eastAsia="宋体" w:hAnsi="宋体" w:cs="宋体"/>
          <w:b/>
          <w:bCs/>
          <w:sz w:val="18"/>
          <w:szCs w:val="18"/>
        </w:rPr>
      </w:pPr>
      <w:bookmarkStart w:id="451" w:name="_Toc989340"/>
      <w:r>
        <w:rPr>
          <w:rFonts w:ascii="宋体" w:eastAsia="宋体" w:hAnsi="宋体" w:cs="宋体"/>
          <w:b/>
          <w:bCs/>
          <w:sz w:val="18"/>
          <w:szCs w:val="18"/>
        </w:rPr>
        <w:t>（1） 在子公司所有者权益份额发生变化的情况说明</w:t>
      </w:r>
      <w:bookmarkEnd w:id="451"/>
    </w:p>
    <w:p w:rsidR="00E22F4C" w:rsidRDefault="00E22F4C">
      <w:pPr>
        <w:divId w:val="1077097650"/>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452" w:name="_Toc989341"/>
      <w:r>
        <w:rPr>
          <w:rFonts w:ascii="宋体" w:eastAsia="宋体" w:hAnsi="宋体" w:cs="宋体"/>
          <w:b/>
          <w:bCs/>
          <w:sz w:val="18"/>
          <w:szCs w:val="18"/>
        </w:rPr>
        <w:t>（2） 交易对于少数股东权益及归属于母公司所有者权益的影响</w:t>
      </w:r>
      <w:bookmarkEnd w:id="45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购买成本/处置对价</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--现金</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--非现金资产的公允价值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购买成本/处置对价合计</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减：按取得/处置的股权比例计算的子公司净资产份额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差额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其中：调整资本公积</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lastRenderedPageBreak/>
              <w:t>调整盈余公积</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调整未分配利润</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085368945"/>
        <w:rPr>
          <w:sz w:val="18"/>
          <w:szCs w:val="18"/>
        </w:rPr>
      </w:pPr>
    </w:p>
    <w:p w:rsidR="00E22F4C" w:rsidRDefault="00381575">
      <w:pPr>
        <w:pStyle w:val="3"/>
        <w:spacing w:line="280" w:lineRule="exact"/>
        <w:jc w:val="left"/>
        <w:rPr>
          <w:rFonts w:ascii="宋体" w:hAnsi="宋体" w:cs="宋体"/>
          <w:b/>
          <w:bCs/>
        </w:rPr>
      </w:pPr>
      <w:bookmarkStart w:id="453" w:name="_Toc989342"/>
      <w:r>
        <w:rPr>
          <w:rFonts w:ascii="宋体" w:hAnsi="宋体" w:cs="宋体"/>
          <w:b/>
          <w:bCs/>
        </w:rPr>
        <w:t>3、在合营安排或联营企业中的权益</w:t>
      </w:r>
      <w:bookmarkEnd w:id="453"/>
    </w:p>
    <w:p w:rsidR="00E22F4C" w:rsidRDefault="00381575">
      <w:pPr>
        <w:keepNext/>
        <w:keepLines/>
        <w:spacing w:before="300" w:after="300" w:line="280" w:lineRule="exact"/>
        <w:outlineLvl w:val="3"/>
        <w:rPr>
          <w:rFonts w:ascii="宋体" w:eastAsia="宋体" w:hAnsi="宋体" w:cs="宋体"/>
          <w:b/>
          <w:bCs/>
          <w:szCs w:val="21"/>
        </w:rPr>
      </w:pPr>
      <w:bookmarkStart w:id="454" w:name="_Toc989343"/>
      <w:r>
        <w:rPr>
          <w:rFonts w:ascii="宋体" w:eastAsia="宋体" w:hAnsi="宋体" w:cs="宋体"/>
          <w:b/>
          <w:bCs/>
          <w:szCs w:val="21"/>
        </w:rPr>
        <w:t>（1） 重要的合营企业或联营企业</w:t>
      </w:r>
      <w:bookmarkEnd w:id="454"/>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合营企业或联营企业名称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主要经营地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对合营企业或联营企业投资的会计处理方法</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直接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间接</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在合营企业或联营企业的持股比例不同于表决权比例的说明：</w:t>
      </w:r>
    </w:p>
    <w:p w:rsidR="00E22F4C" w:rsidRDefault="00E22F4C">
      <w:pPr>
        <w:divId w:val="549390532"/>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持有20%以下表决权但具有重大影响，或者持有20%或以上表决权但不具有重大影响的依据：</w:t>
      </w:r>
    </w:p>
    <w:p w:rsidR="00E22F4C" w:rsidRDefault="00E22F4C">
      <w:pPr>
        <w:divId w:val="604918597"/>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55" w:name="_Toc989344"/>
      <w:r>
        <w:rPr>
          <w:rFonts w:ascii="宋体" w:eastAsia="宋体" w:hAnsi="宋体" w:cs="宋体"/>
          <w:b/>
          <w:bCs/>
          <w:szCs w:val="21"/>
        </w:rPr>
        <w:t>（2） 重要合营企业的主要财务信息</w:t>
      </w:r>
      <w:bookmarkEnd w:id="45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期初余额/上期发生额</w:t>
            </w:r>
          </w:p>
        </w:tc>
      </w:tr>
      <w:tr w:rsidR="00E22F4C">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其中：现金和现金等价物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归属于母公司股东权益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按持股比例计算的净资产份额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调整事项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--内部交易未实现利润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对合营企业权益投资的账面价值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存在公开报价的合营企业权益投资的公允价值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终止经营的净利润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本年度收到的来自合营企业的股利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108813651"/>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56" w:name="_Toc989345"/>
      <w:r>
        <w:rPr>
          <w:rFonts w:ascii="宋体" w:eastAsia="宋体" w:hAnsi="宋体" w:cs="宋体"/>
          <w:b/>
          <w:bCs/>
          <w:szCs w:val="21"/>
        </w:rPr>
        <w:t>（3） 重要联营企业的主要财务信息</w:t>
      </w:r>
      <w:bookmarkEnd w:id="45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期初余额/上期发生额</w:t>
            </w:r>
          </w:p>
        </w:tc>
      </w:tr>
      <w:tr w:rsidR="00E22F4C">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归属于母公司股东权益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按持股比例计算的净资产份额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调整事项</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--内部交易未实现利润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对联营企业权益投资的账面价值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存在公开报价的联营企业权益投资的公允价值</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终止经营的净利润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本年度收到的来自联营企业的股利</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463306827"/>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57" w:name="_Toc989346"/>
      <w:r>
        <w:rPr>
          <w:rFonts w:ascii="宋体" w:eastAsia="宋体" w:hAnsi="宋体" w:cs="宋体"/>
          <w:b/>
          <w:bCs/>
          <w:szCs w:val="21"/>
        </w:rPr>
        <w:t>（4） 不重要的合营企业和联营企业的汇总财务信息</w:t>
      </w:r>
      <w:bookmarkEnd w:id="45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合营企业：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下列各项按持股比例计算的合计数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联营企业：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下列各项按持股比例计算的合计数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529103441"/>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58" w:name="_Toc989347"/>
      <w:r>
        <w:rPr>
          <w:rFonts w:ascii="宋体" w:eastAsia="宋体" w:hAnsi="宋体" w:cs="宋体"/>
          <w:b/>
          <w:bCs/>
          <w:szCs w:val="21"/>
        </w:rPr>
        <w:t>（5） 合营企业或联营企业向本公司转移资金的能力存在重大限制的说明</w:t>
      </w:r>
      <w:bookmarkEnd w:id="458"/>
    </w:p>
    <w:p w:rsidR="00E22F4C" w:rsidRDefault="00E22F4C">
      <w:pPr>
        <w:divId w:val="1752048771"/>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59" w:name="_Toc989348"/>
      <w:r>
        <w:rPr>
          <w:rFonts w:ascii="宋体" w:eastAsia="宋体" w:hAnsi="宋体" w:cs="宋体"/>
          <w:b/>
          <w:bCs/>
          <w:szCs w:val="21"/>
        </w:rPr>
        <w:t>（6） 合营企业或联营企业发生的超额亏损</w:t>
      </w:r>
      <w:bookmarkEnd w:id="45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合营企业或联营企业名称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累积未确认前期累计的损失</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本期未确认的损失（或本期分享的净利润）</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本期末累积未确认的损失</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31749364"/>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60" w:name="_Toc989349"/>
      <w:r>
        <w:rPr>
          <w:rFonts w:ascii="宋体" w:eastAsia="宋体" w:hAnsi="宋体" w:cs="宋体"/>
          <w:b/>
          <w:bCs/>
          <w:szCs w:val="21"/>
        </w:rPr>
        <w:t>（7） 与合营企业投资相关的未确认承诺</w:t>
      </w:r>
      <w:bookmarkEnd w:id="460"/>
    </w:p>
    <w:p w:rsidR="00E22F4C" w:rsidRDefault="00E22F4C">
      <w:pPr>
        <w:divId w:val="1415971207"/>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61" w:name="_Toc989350"/>
      <w:r>
        <w:rPr>
          <w:rFonts w:ascii="宋体" w:eastAsia="宋体" w:hAnsi="宋体" w:cs="宋体"/>
          <w:b/>
          <w:bCs/>
          <w:szCs w:val="21"/>
        </w:rPr>
        <w:t>（8） 与合营企业或联营企业投资相关的或有负债</w:t>
      </w:r>
      <w:bookmarkEnd w:id="461"/>
    </w:p>
    <w:p w:rsidR="00E22F4C" w:rsidRDefault="00E22F4C">
      <w:pPr>
        <w:divId w:val="1231307255"/>
        <w:rPr>
          <w:sz w:val="18"/>
          <w:szCs w:val="18"/>
        </w:rPr>
      </w:pPr>
    </w:p>
    <w:p w:rsidR="00E22F4C" w:rsidRDefault="00381575">
      <w:pPr>
        <w:pStyle w:val="3"/>
        <w:spacing w:line="280" w:lineRule="exact"/>
        <w:jc w:val="left"/>
        <w:rPr>
          <w:rFonts w:ascii="宋体" w:hAnsi="宋体" w:cs="宋体"/>
          <w:b/>
          <w:bCs/>
        </w:rPr>
      </w:pPr>
      <w:bookmarkStart w:id="462" w:name="_Toc989351"/>
      <w:r>
        <w:rPr>
          <w:rFonts w:ascii="宋体" w:hAnsi="宋体" w:cs="宋体"/>
          <w:b/>
          <w:bCs/>
        </w:rPr>
        <w:t>4、重要的共同经营</w:t>
      </w:r>
      <w:bookmarkEnd w:id="462"/>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7"/>
        <w:gridCol w:w="1607"/>
        <w:gridCol w:w="1606"/>
        <w:gridCol w:w="1606"/>
        <w:gridCol w:w="1606"/>
        <w:gridCol w:w="1607"/>
      </w:tblGrid>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共同经营名称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主要经营地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持股比例/享有的份额</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直接</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间接</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在共同经营中的持股比例或享有的份额不同于表决权比例的说明：</w:t>
      </w:r>
    </w:p>
    <w:p w:rsidR="00E22F4C" w:rsidRDefault="00E22F4C">
      <w:pPr>
        <w:divId w:val="1497501488"/>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共同经营为单独主体的，分类为共同经营的依据：</w:t>
      </w:r>
    </w:p>
    <w:p w:rsidR="00E22F4C" w:rsidRDefault="00E22F4C">
      <w:pPr>
        <w:divId w:val="1855193840"/>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849521986"/>
        <w:rPr>
          <w:sz w:val="18"/>
          <w:szCs w:val="18"/>
        </w:rPr>
      </w:pPr>
    </w:p>
    <w:p w:rsidR="00E22F4C" w:rsidRDefault="00381575">
      <w:pPr>
        <w:pStyle w:val="3"/>
        <w:spacing w:line="280" w:lineRule="exact"/>
        <w:jc w:val="left"/>
        <w:rPr>
          <w:rFonts w:ascii="宋体" w:hAnsi="宋体" w:cs="宋体"/>
          <w:b/>
          <w:bCs/>
        </w:rPr>
      </w:pPr>
      <w:bookmarkStart w:id="463" w:name="_Toc989352"/>
      <w:r>
        <w:rPr>
          <w:rFonts w:ascii="宋体" w:hAnsi="宋体" w:cs="宋体"/>
          <w:b/>
          <w:bCs/>
        </w:rPr>
        <w:t>5、在未纳入合并财务报表范围的结构化主体中的权益</w:t>
      </w:r>
      <w:bookmarkEnd w:id="46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未纳入合并财务报表范围的结构化主体的相关说明：</w:t>
      </w:r>
    </w:p>
    <w:p w:rsidR="00E22F4C" w:rsidRDefault="00E22F4C">
      <w:pPr>
        <w:divId w:val="1434207457"/>
        <w:rPr>
          <w:sz w:val="18"/>
          <w:szCs w:val="18"/>
        </w:rPr>
      </w:pPr>
    </w:p>
    <w:p w:rsidR="00E22F4C" w:rsidRDefault="00381575">
      <w:pPr>
        <w:pStyle w:val="3"/>
        <w:spacing w:line="280" w:lineRule="exact"/>
        <w:jc w:val="left"/>
        <w:rPr>
          <w:rFonts w:ascii="宋体" w:hAnsi="宋体" w:cs="宋体"/>
          <w:b/>
          <w:bCs/>
        </w:rPr>
      </w:pPr>
      <w:bookmarkStart w:id="464" w:name="_Toc989353"/>
      <w:r>
        <w:rPr>
          <w:rFonts w:ascii="宋体" w:hAnsi="宋体" w:cs="宋体"/>
          <w:b/>
          <w:bCs/>
        </w:rPr>
        <w:lastRenderedPageBreak/>
        <w:t>6、其他</w:t>
      </w:r>
      <w:bookmarkEnd w:id="464"/>
    </w:p>
    <w:p w:rsidR="00E22F4C" w:rsidRDefault="00E22F4C">
      <w:pPr>
        <w:divId w:val="2072146086"/>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465" w:name="_Toc989354"/>
      <w:r>
        <w:rPr>
          <w:rFonts w:ascii="宋体" w:eastAsia="宋体" w:hAnsi="宋体" w:cs="宋体"/>
          <w:b/>
          <w:bCs/>
          <w:sz w:val="24"/>
          <w:szCs w:val="24"/>
        </w:rPr>
        <w:t>十、与金融工具相关的风险</w:t>
      </w:r>
      <w:bookmarkEnd w:id="465"/>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公司的主要金融工具包括货币资金、应收账款、交易性金融资产、应收款项融资、其他应收款、其他流动资产、应付票据、应付账款、其他应付款、短期借款、长期借款等，各项金融工具的详细情况说明见本附注五相关项目。在日常活动中面临各种金融工具的风险，主要包括信用风险、流动性风险、市场风险。与这些金融工具相关的风险，以及本公司为降低这些风险所采取的风险管理政策如下所述：</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由风险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本公司通过适当的多样化投资及业务组合来分散金融工具风险，并通过制定相应的风险管理政策减少集中于单一行业、特定地区或特定交易对手的风险。</w:t>
      </w:r>
    </w:p>
    <w:p w:rsidR="00E22F4C" w:rsidRDefault="00E22F4C">
      <w:pPr>
        <w:pStyle w:val="17"/>
        <w:divId w:val="1460761203"/>
        <w:rPr>
          <w:sz w:val="18"/>
          <w:szCs w:val="18"/>
        </w:rPr>
      </w:pPr>
      <w:r>
        <w:rPr>
          <w:rStyle w:val="a5"/>
          <w:rFonts w:ascii="Times New Roman" w:hAnsi="Times New Roman" w:cs="Times New Roman"/>
          <w:color w:val="000000"/>
          <w:sz w:val="21"/>
          <w:szCs w:val="21"/>
        </w:rPr>
        <w:t>        1</w:t>
      </w:r>
      <w:r>
        <w:rPr>
          <w:rStyle w:val="a5"/>
          <w:rFonts w:ascii="黑体" w:eastAsia="黑体" w:hAnsi="黑体" w:cs="Times New Roman" w:hint="eastAsia"/>
          <w:color w:val="000000"/>
          <w:sz w:val="21"/>
          <w:szCs w:val="21"/>
        </w:rPr>
        <w:t>、信用风险</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 xml:space="preserve">信用风险是指交易对手未能履行合同义务而导致本公司产生财务损失的风险，管理层已制定适当的信用政策，并且不断监察信用风险的敞口。 </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 xml:space="preserve">本公司已采取政策只与信用良好的交易对手进行交易。另外，本公司基于对客户的财务状况、从第三方获取担保的可能性、信用记录及其它因素诸如目前市场状况等评估客户的信用资质并设置相应信用期。本公司对应收票据、应收账款余额及收回情况进行持续监控，对于信用记录不良的客户，本公司会采用书面催款、缩短信用期或取消信用期等方式，以确保本公司不致面临重大信用损失。此外，本公司于每个资产负债表日审核金融资产的回收情况，以确保相关金融资产计提了充分的预期信用损失准备。 </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本公司其他金融资产包括货币资金、应收账款、交易性金融资产、应收款项融资、其他应收款、其他流动资产、应付票据、应付账款、其他应付款、短期借款、长期借款等，这些金融资产的信用风险源自于交易对手违约，最大信用风险敞口为资产负债表中每项金融资产的账面金额。除附注十二、承诺及或有事项所载本公司作出的财务担保外，本公司没有提供任何其他可能令本公司承受信用风险的担保。</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本公司持有的货币资金主要存放于国有控股银行和其他大中型商业银行等金融机构，管理层认为这些商业银行具备较高信誉和资产状况，不存在重大的信用风险，不会产生因对方单位违约而导致的任何</w:t>
      </w:r>
      <w:r>
        <w:rPr>
          <w:rFonts w:cs="Times New Roman" w:hint="eastAsia"/>
          <w:sz w:val="21"/>
          <w:szCs w:val="21"/>
        </w:rPr>
        <w:lastRenderedPageBreak/>
        <w:t xml:space="preserve">重大损失。本公司的政策是根据各知名金融机构的市场信誉、经营规模及财务背景来控制存放当中的存款金额，以限制对任何单个金融机构的信用风险金额。 作为本公司信用风险资产管理的一部分，本公司利用账龄来评估应收账款和其他应收款的减值损失。本公司的应收账款和其他应收款涉及大量客户，账龄信息可以反映这些客户对于应收账款和其他应收款的偿付能力和坏账风险。本公司根据历史数据计算不同账龄期间的历史实际坏账率，并考虑了当前及未来经济状况的预测，如国家 </w:t>
      </w:r>
      <w:r>
        <w:rPr>
          <w:rFonts w:ascii="Times New Roman" w:hAnsi="Times New Roman" w:cs="Times New Roman"/>
          <w:sz w:val="21"/>
          <w:szCs w:val="21"/>
        </w:rPr>
        <w:t xml:space="preserve">GDP </w:t>
      </w:r>
      <w:r>
        <w:rPr>
          <w:rFonts w:cs="Times New Roman" w:hint="eastAsia"/>
          <w:sz w:val="21"/>
          <w:szCs w:val="21"/>
        </w:rPr>
        <w:t>增速、基建投资总额、国家货币政策等前瞻性信息进行调整得出预期损失率。对于长期应收款，本公司综合考虑结算期、合同约定付款期、债务人的财务状况和债务人所处行业的经济形势，并考虑上述前瞻性信息进行调整后对于预期信用损失进行合理评估。</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 xml:space="preserve">截止 </w:t>
      </w:r>
      <w:r>
        <w:rPr>
          <w:rFonts w:ascii="Times New Roman" w:hAnsi="Times New Roman" w:cs="Times New Roman"/>
          <w:sz w:val="21"/>
          <w:szCs w:val="21"/>
        </w:rPr>
        <w:t>2022</w:t>
      </w:r>
      <w:r>
        <w:rPr>
          <w:rFonts w:cs="Times New Roman" w:hint="eastAsia"/>
          <w:sz w:val="21"/>
          <w:szCs w:val="21"/>
        </w:rPr>
        <w:t xml:space="preserve"> 年 </w:t>
      </w:r>
      <w:r>
        <w:rPr>
          <w:rFonts w:ascii="Times New Roman" w:hAnsi="Times New Roman" w:cs="Times New Roman"/>
          <w:sz w:val="21"/>
          <w:szCs w:val="21"/>
        </w:rPr>
        <w:t xml:space="preserve">12 </w:t>
      </w:r>
      <w:r>
        <w:rPr>
          <w:rFonts w:cs="Times New Roman" w:hint="eastAsia"/>
          <w:sz w:val="21"/>
          <w:szCs w:val="21"/>
        </w:rPr>
        <w:t xml:space="preserve">月 </w:t>
      </w:r>
      <w:r>
        <w:rPr>
          <w:rFonts w:ascii="Times New Roman" w:hAnsi="Times New Roman" w:cs="Times New Roman"/>
          <w:sz w:val="21"/>
          <w:szCs w:val="21"/>
        </w:rPr>
        <w:t xml:space="preserve">31 </w:t>
      </w:r>
      <w:r>
        <w:rPr>
          <w:rFonts w:cs="Times New Roman" w:hint="eastAsia"/>
          <w:sz w:val="21"/>
          <w:szCs w:val="21"/>
        </w:rPr>
        <w:t>日，相关资产的账面余额与预期信用减值损失情况如下：</w:t>
      </w:r>
    </w:p>
    <w:tbl>
      <w:tblPr>
        <w:tblW w:w="8519" w:type="dxa"/>
        <w:tblCellMar>
          <w:top w:w="15" w:type="dxa"/>
          <w:left w:w="15" w:type="dxa"/>
          <w:bottom w:w="15" w:type="dxa"/>
          <w:right w:w="15" w:type="dxa"/>
        </w:tblCellMar>
        <w:tblLook w:val="04A0"/>
      </w:tblPr>
      <w:tblGrid>
        <w:gridCol w:w="2820"/>
        <w:gridCol w:w="2829"/>
        <w:gridCol w:w="2870"/>
      </w:tblGrid>
      <w:tr w:rsidR="00E22F4C">
        <w:trPr>
          <w:divId w:val="1460761203"/>
          <w:trHeight w:val="454"/>
        </w:trPr>
        <w:tc>
          <w:tcPr>
            <w:tcW w:w="28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sz w:val="21"/>
                <w:szCs w:val="21"/>
              </w:rPr>
              <w:t xml:space="preserve">项 </w:t>
            </w:r>
            <w:r>
              <w:rPr>
                <w:rFonts w:ascii="Times New Roman" w:hAnsi="Times New Roman" w:cs="Times New Roman"/>
                <w:sz w:val="21"/>
                <w:szCs w:val="21"/>
              </w:rPr>
              <w:t>      </w:t>
            </w:r>
            <w:r>
              <w:rPr>
                <w:rFonts w:cs="Times New Roman" w:hint="eastAsia"/>
                <w:sz w:val="21"/>
                <w:szCs w:val="21"/>
              </w:rPr>
              <w:t>目</w:t>
            </w:r>
          </w:p>
        </w:tc>
        <w:tc>
          <w:tcPr>
            <w:tcW w:w="28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sz w:val="21"/>
                <w:szCs w:val="21"/>
              </w:rPr>
              <w:t>账面余额</w:t>
            </w:r>
          </w:p>
        </w:tc>
        <w:tc>
          <w:tcPr>
            <w:tcW w:w="2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center"/>
              <w:rPr>
                <w:rFonts w:ascii="Times New Roman" w:hAnsi="Times New Roman" w:cs="Times New Roman"/>
                <w:sz w:val="21"/>
                <w:szCs w:val="21"/>
              </w:rPr>
            </w:pPr>
            <w:r>
              <w:rPr>
                <w:rFonts w:cs="Times New Roman" w:hint="eastAsia"/>
                <w:sz w:val="21"/>
                <w:szCs w:val="21"/>
              </w:rPr>
              <w:t>减值准备</w:t>
            </w:r>
          </w:p>
        </w:tc>
      </w:tr>
      <w:tr w:rsidR="00E22F4C">
        <w:trPr>
          <w:divId w:val="1460761203"/>
          <w:trHeight w:val="454"/>
        </w:trPr>
        <w:tc>
          <w:tcPr>
            <w:tcW w:w="2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rPr>
                <w:rFonts w:ascii="Times New Roman" w:hAnsi="Times New Roman" w:cs="Times New Roman"/>
                <w:sz w:val="21"/>
                <w:szCs w:val="21"/>
              </w:rPr>
            </w:pPr>
            <w:r>
              <w:rPr>
                <w:rFonts w:cs="Times New Roman" w:hint="eastAsia"/>
                <w:sz w:val="21"/>
                <w:szCs w:val="21"/>
              </w:rPr>
              <w:t>应收票据</w:t>
            </w:r>
          </w:p>
        </w:tc>
        <w:tc>
          <w:tcPr>
            <w:tcW w:w="2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w:t>
            </w:r>
          </w:p>
        </w:tc>
        <w:tc>
          <w:tcPr>
            <w:tcW w:w="2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w:t>
            </w:r>
          </w:p>
        </w:tc>
      </w:tr>
      <w:tr w:rsidR="00E22F4C">
        <w:trPr>
          <w:divId w:val="1460761203"/>
          <w:trHeight w:val="454"/>
        </w:trPr>
        <w:tc>
          <w:tcPr>
            <w:tcW w:w="2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rPr>
                <w:rFonts w:ascii="Times New Roman" w:hAnsi="Times New Roman" w:cs="Times New Roman"/>
                <w:sz w:val="21"/>
                <w:szCs w:val="21"/>
              </w:rPr>
            </w:pPr>
            <w:r>
              <w:rPr>
                <w:rFonts w:cs="Times New Roman" w:hint="eastAsia"/>
                <w:sz w:val="21"/>
                <w:szCs w:val="21"/>
              </w:rPr>
              <w:t>应收款项融资</w:t>
            </w:r>
          </w:p>
        </w:tc>
        <w:tc>
          <w:tcPr>
            <w:tcW w:w="2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122,921,358.54</w:t>
            </w:r>
          </w:p>
        </w:tc>
        <w:tc>
          <w:tcPr>
            <w:tcW w:w="2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w:t>
            </w:r>
          </w:p>
        </w:tc>
      </w:tr>
      <w:tr w:rsidR="00E22F4C">
        <w:trPr>
          <w:divId w:val="1460761203"/>
          <w:trHeight w:val="454"/>
        </w:trPr>
        <w:tc>
          <w:tcPr>
            <w:tcW w:w="2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rPr>
                <w:rFonts w:ascii="Times New Roman" w:hAnsi="Times New Roman" w:cs="Times New Roman"/>
                <w:sz w:val="21"/>
                <w:szCs w:val="21"/>
              </w:rPr>
            </w:pPr>
            <w:r>
              <w:rPr>
                <w:rFonts w:cs="Times New Roman" w:hint="eastAsia"/>
                <w:sz w:val="21"/>
                <w:szCs w:val="21"/>
              </w:rPr>
              <w:t>应收账款</w:t>
            </w:r>
          </w:p>
        </w:tc>
        <w:tc>
          <w:tcPr>
            <w:tcW w:w="2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277,673,344.63</w:t>
            </w:r>
          </w:p>
        </w:tc>
        <w:tc>
          <w:tcPr>
            <w:tcW w:w="2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13,519,518.60</w:t>
            </w:r>
          </w:p>
        </w:tc>
      </w:tr>
      <w:tr w:rsidR="00E22F4C">
        <w:trPr>
          <w:divId w:val="1460761203"/>
          <w:trHeight w:val="454"/>
        </w:trPr>
        <w:tc>
          <w:tcPr>
            <w:tcW w:w="2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rPr>
                <w:rFonts w:ascii="Times New Roman" w:hAnsi="Times New Roman" w:cs="Times New Roman"/>
                <w:sz w:val="21"/>
                <w:szCs w:val="21"/>
              </w:rPr>
            </w:pPr>
            <w:r>
              <w:rPr>
                <w:rFonts w:cs="Times New Roman" w:hint="eastAsia"/>
                <w:sz w:val="21"/>
                <w:szCs w:val="21"/>
              </w:rPr>
              <w:t>其他应收款</w:t>
            </w:r>
          </w:p>
        </w:tc>
        <w:tc>
          <w:tcPr>
            <w:tcW w:w="2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10,603,239.93</w:t>
            </w:r>
          </w:p>
        </w:tc>
        <w:tc>
          <w:tcPr>
            <w:tcW w:w="2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1,834,427.37</w:t>
            </w:r>
          </w:p>
        </w:tc>
      </w:tr>
      <w:tr w:rsidR="00E22F4C">
        <w:trPr>
          <w:divId w:val="1460761203"/>
          <w:trHeight w:val="454"/>
        </w:trPr>
        <w:tc>
          <w:tcPr>
            <w:tcW w:w="2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ind w:firstLine="840"/>
              <w:rPr>
                <w:rFonts w:ascii="Times New Roman" w:hAnsi="Times New Roman" w:cs="Times New Roman"/>
                <w:sz w:val="21"/>
                <w:szCs w:val="21"/>
              </w:rPr>
            </w:pPr>
            <w:r>
              <w:rPr>
                <w:rFonts w:cs="Times New Roman" w:hint="eastAsia"/>
                <w:sz w:val="21"/>
                <w:szCs w:val="21"/>
              </w:rPr>
              <w:t xml:space="preserve">合 </w:t>
            </w:r>
            <w:r>
              <w:rPr>
                <w:rFonts w:ascii="Times New Roman" w:hAnsi="Times New Roman" w:cs="Times New Roman"/>
                <w:sz w:val="21"/>
                <w:szCs w:val="21"/>
              </w:rPr>
              <w:t>     </w:t>
            </w:r>
            <w:r>
              <w:rPr>
                <w:rFonts w:cs="Times New Roman" w:hint="eastAsia"/>
                <w:sz w:val="21"/>
                <w:szCs w:val="21"/>
              </w:rPr>
              <w:t>计</w:t>
            </w:r>
          </w:p>
        </w:tc>
        <w:tc>
          <w:tcPr>
            <w:tcW w:w="2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411,197,943.10</w:t>
            </w:r>
          </w:p>
        </w:tc>
        <w:tc>
          <w:tcPr>
            <w:tcW w:w="2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F4C" w:rsidRDefault="00E22F4C">
            <w:pPr>
              <w:pStyle w:val="a4"/>
              <w:spacing w:before="0" w:beforeAutospacing="0" w:after="0" w:afterAutospacing="0" w:line="460" w:lineRule="atLeast"/>
              <w:jc w:val="right"/>
              <w:rPr>
                <w:rFonts w:ascii="Times New Roman" w:hAnsi="Times New Roman" w:cs="Times New Roman"/>
                <w:sz w:val="21"/>
                <w:szCs w:val="21"/>
              </w:rPr>
            </w:pPr>
            <w:r>
              <w:rPr>
                <w:rFonts w:ascii="Times New Roman" w:hAnsi="Times New Roman" w:cs="Times New Roman"/>
                <w:sz w:val="21"/>
                <w:szCs w:val="21"/>
              </w:rPr>
              <w:t>15,353,945.97</w:t>
            </w:r>
          </w:p>
        </w:tc>
      </w:tr>
    </w:tbl>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 xml:space="preserve">于 </w:t>
      </w:r>
      <w:r>
        <w:rPr>
          <w:rFonts w:ascii="Times New Roman" w:hAnsi="Times New Roman" w:cs="Times New Roman"/>
          <w:sz w:val="21"/>
          <w:szCs w:val="21"/>
        </w:rPr>
        <w:t>2022</w:t>
      </w:r>
      <w:r>
        <w:rPr>
          <w:rFonts w:cs="Times New Roman" w:hint="eastAsia"/>
          <w:sz w:val="21"/>
          <w:szCs w:val="21"/>
        </w:rPr>
        <w:t xml:space="preserve"> 年 </w:t>
      </w:r>
      <w:r>
        <w:rPr>
          <w:rFonts w:ascii="Times New Roman" w:hAnsi="Times New Roman" w:cs="Times New Roman"/>
          <w:sz w:val="21"/>
          <w:szCs w:val="21"/>
        </w:rPr>
        <w:t xml:space="preserve">12 </w:t>
      </w:r>
      <w:r>
        <w:rPr>
          <w:rFonts w:cs="Times New Roman" w:hint="eastAsia"/>
          <w:sz w:val="21"/>
          <w:szCs w:val="21"/>
        </w:rPr>
        <w:t xml:space="preserve">月 </w:t>
      </w:r>
      <w:r>
        <w:rPr>
          <w:rFonts w:ascii="Times New Roman" w:hAnsi="Times New Roman" w:cs="Times New Roman"/>
          <w:sz w:val="21"/>
          <w:szCs w:val="21"/>
        </w:rPr>
        <w:t xml:space="preserve">31 </w:t>
      </w:r>
      <w:r>
        <w:rPr>
          <w:rFonts w:cs="Times New Roman" w:hint="eastAsia"/>
          <w:sz w:val="21"/>
          <w:szCs w:val="21"/>
        </w:rPr>
        <w:t xml:space="preserve">日，本公司对外提供财务担保的金额为 </w:t>
      </w:r>
      <w:r>
        <w:rPr>
          <w:rFonts w:ascii="Times New Roman" w:hAnsi="Times New Roman" w:cs="Times New Roman"/>
          <w:sz w:val="21"/>
          <w:szCs w:val="21"/>
        </w:rPr>
        <w:t xml:space="preserve">0 </w:t>
      </w:r>
      <w:r>
        <w:rPr>
          <w:rFonts w:cs="Times New Roman" w:hint="eastAsia"/>
          <w:sz w:val="21"/>
          <w:szCs w:val="21"/>
        </w:rPr>
        <w:t xml:space="preserve">万元，财务担保合同的具体情况参见附注十二、承诺及或有事项。本公司管理层评估了担保项下相关借款的逾期情况、相关借款人的财务状况及其所处行业的经济形势，认为自该部分财务担保合同初始确认后，相关信用风险未显著增加。因此，本公司按照相当于上述财务担保合同未来 </w:t>
      </w:r>
      <w:r>
        <w:rPr>
          <w:rFonts w:ascii="Times New Roman" w:hAnsi="Times New Roman" w:cs="Times New Roman"/>
          <w:sz w:val="21"/>
          <w:szCs w:val="21"/>
        </w:rPr>
        <w:t xml:space="preserve">12 </w:t>
      </w:r>
      <w:r>
        <w:rPr>
          <w:rFonts w:cs="Times New Roman" w:hint="eastAsia"/>
          <w:sz w:val="21"/>
          <w:szCs w:val="21"/>
        </w:rPr>
        <w:t>个月内预期信用损失的金额计量其减值准备。报告期内，本公司的评估方式与重大假设并未发生变化。</w:t>
      </w:r>
    </w:p>
    <w:p w:rsidR="00E22F4C" w:rsidRDefault="00E22F4C">
      <w:pPr>
        <w:pStyle w:val="17"/>
        <w:divId w:val="1460761203"/>
        <w:rPr>
          <w:sz w:val="18"/>
          <w:szCs w:val="18"/>
        </w:rPr>
      </w:pPr>
      <w:r>
        <w:rPr>
          <w:rStyle w:val="a5"/>
          <w:rFonts w:ascii="Times New Roman" w:hAnsi="Times New Roman" w:cs="Times New Roman"/>
          <w:color w:val="000000"/>
          <w:sz w:val="21"/>
          <w:szCs w:val="21"/>
        </w:rPr>
        <w:t>        2</w:t>
      </w:r>
      <w:r>
        <w:rPr>
          <w:rStyle w:val="a5"/>
          <w:rFonts w:ascii="黑体" w:eastAsia="黑体" w:hAnsi="黑体" w:cs="Times New Roman" w:hint="eastAsia"/>
          <w:color w:val="000000"/>
          <w:sz w:val="21"/>
          <w:szCs w:val="21"/>
        </w:rPr>
        <w:t>、市场风险</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金融工具的市场风险，是指金融工具的公允价值或未来现金流量因市场价格变动而发生波动的风险，包括利率风险、外汇风险和其他价格风险。</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1</w:t>
      </w:r>
      <w:r>
        <w:rPr>
          <w:rFonts w:cs="Times New Roman" w:hint="eastAsia"/>
          <w:sz w:val="21"/>
          <w:szCs w:val="21"/>
        </w:rPr>
        <w:t>）利率风险</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利率风险，是指金融工具的公允价值或未来现金流量因市场利率变动而发生波动的风险。公司面临的利率风险主要来源于银行短期借款。公司通过建立良好的银企关系，对授信额度、授信品种以及授信期限进行合理的设计，保障银行授信额度充足，满足公司各类短期融资需求。并且通过缩短单笔借款的期限，特别约定提前还款条款，合理降低利率波动风险。</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2</w:t>
      </w:r>
      <w:r>
        <w:rPr>
          <w:rFonts w:cs="Times New Roman" w:hint="eastAsia"/>
          <w:sz w:val="21"/>
          <w:szCs w:val="21"/>
        </w:rPr>
        <w:t>）外汇风险</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lastRenderedPageBreak/>
        <w:t>公司产品销往美国、韩国、日本、欧洲以及亚洲其他地区时主要以美元结算。公司外销业务给予客户一定的信用期，如果人民币相对于美元升值，公司外币应收账款将发生汇兑损失。</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w:t>
      </w:r>
      <w:r>
        <w:rPr>
          <w:rFonts w:ascii="Times New Roman" w:hAnsi="Times New Roman" w:cs="Times New Roman"/>
          <w:sz w:val="21"/>
          <w:szCs w:val="21"/>
        </w:rPr>
        <w:t>3</w:t>
      </w:r>
      <w:r>
        <w:rPr>
          <w:rFonts w:cs="Times New Roman" w:hint="eastAsia"/>
          <w:sz w:val="21"/>
          <w:szCs w:val="21"/>
        </w:rPr>
        <w:t>）其他价格风险</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公司主营业务为钨制品的开发、生产与销售，主要原料为钨精矿。公司生产所需的钨精矿通过外购获得，如果未来钨精矿价格发生剧烈变化而钨制品价格未能同步变动，将会对公司主要产品的毛利率水平及经营业绩产生影响。</w:t>
      </w:r>
    </w:p>
    <w:p w:rsidR="00E22F4C" w:rsidRDefault="00E22F4C">
      <w:pPr>
        <w:pStyle w:val="17"/>
        <w:divId w:val="1460761203"/>
        <w:rPr>
          <w:sz w:val="18"/>
          <w:szCs w:val="18"/>
        </w:rPr>
      </w:pPr>
      <w:r>
        <w:rPr>
          <w:rStyle w:val="a5"/>
          <w:rFonts w:ascii="Times New Roman" w:hAnsi="Times New Roman" w:cs="Times New Roman"/>
          <w:color w:val="000000"/>
          <w:sz w:val="21"/>
          <w:szCs w:val="21"/>
        </w:rPr>
        <w:t>         3</w:t>
      </w:r>
      <w:r>
        <w:rPr>
          <w:rStyle w:val="a5"/>
          <w:rFonts w:ascii="黑体" w:eastAsia="黑体" w:hAnsi="黑体" w:cs="Times New Roman" w:hint="eastAsia"/>
          <w:color w:val="000000"/>
          <w:sz w:val="21"/>
          <w:szCs w:val="21"/>
        </w:rPr>
        <w:t>、流动性风险</w:t>
      </w:r>
    </w:p>
    <w:p w:rsidR="00E22F4C" w:rsidRDefault="00E22F4C">
      <w:pPr>
        <w:pStyle w:val="a4"/>
        <w:spacing w:before="120" w:beforeAutospacing="0" w:after="0" w:afterAutospacing="0" w:line="420" w:lineRule="atLeast"/>
        <w:ind w:firstLine="420"/>
        <w:jc w:val="both"/>
        <w:divId w:val="1460761203"/>
        <w:rPr>
          <w:rFonts w:ascii="Times New Roman" w:hAnsi="Times New Roman" w:cs="Times New Roman"/>
          <w:sz w:val="21"/>
          <w:szCs w:val="21"/>
        </w:rPr>
      </w:pPr>
      <w:r>
        <w:rPr>
          <w:rFonts w:cs="Times New Roman" w:hint="eastAsia"/>
          <w:sz w:val="21"/>
          <w:szCs w:val="21"/>
        </w:rPr>
        <w:t>流动性风险是指本公司在履行以交付现金或其他金融资产的方式结算的义务时发生资金短缺的风险。本公司下属成员企业各自负责其现金流量预测。公司下属财务部门基于各成员企业的现金流量预测结果，在公司层面持续监控公司短期和长期的资金需求，以确保维持充裕的现金储备；同时持续监控是否符合借款协议的规定，从主要金融机构获得提供足够备用资金的承诺，以满足短期和长期的资金需求。此外，本公司与主要业务往来银行订立融资额度授信协议，为本公司履行与商业票据相关的义务提供支持。</w:t>
      </w:r>
    </w:p>
    <w:p w:rsidR="00E22F4C" w:rsidRDefault="00E22F4C">
      <w:pPr>
        <w:pStyle w:val="19"/>
        <w:divId w:val="1460761203"/>
        <w:rPr>
          <w:sz w:val="18"/>
          <w:szCs w:val="18"/>
        </w:rPr>
      </w:pPr>
      <w:r>
        <w:rPr>
          <w:rFonts w:hint="eastAsia"/>
          <w:sz w:val="18"/>
          <w:szCs w:val="18"/>
        </w:rPr>
        <w:t> </w:t>
      </w:r>
    </w:p>
    <w:p w:rsidR="00E22F4C" w:rsidRDefault="00381575">
      <w:pPr>
        <w:pStyle w:val="2"/>
        <w:spacing w:before="300" w:after="300" w:line="320" w:lineRule="exact"/>
        <w:rPr>
          <w:rFonts w:ascii="宋体" w:eastAsia="宋体" w:hAnsi="宋体" w:cs="宋体"/>
          <w:b/>
          <w:bCs/>
          <w:sz w:val="24"/>
          <w:szCs w:val="24"/>
        </w:rPr>
      </w:pPr>
      <w:bookmarkStart w:id="466" w:name="_Toc989355"/>
      <w:r>
        <w:rPr>
          <w:rFonts w:ascii="宋体" w:eastAsia="宋体" w:hAnsi="宋体" w:cs="宋体"/>
          <w:b/>
          <w:bCs/>
          <w:sz w:val="24"/>
          <w:szCs w:val="24"/>
        </w:rPr>
        <w:t>十一、公允价值的披露</w:t>
      </w:r>
      <w:bookmarkEnd w:id="466"/>
    </w:p>
    <w:p w:rsidR="00E22F4C" w:rsidRDefault="00381575">
      <w:pPr>
        <w:pStyle w:val="3"/>
        <w:spacing w:line="280" w:lineRule="exact"/>
        <w:jc w:val="left"/>
        <w:rPr>
          <w:rFonts w:ascii="宋体" w:hAnsi="宋体" w:cs="宋体"/>
          <w:b/>
          <w:bCs/>
        </w:rPr>
      </w:pPr>
      <w:bookmarkStart w:id="467" w:name="_Toc989356"/>
      <w:r>
        <w:rPr>
          <w:rFonts w:ascii="宋体" w:hAnsi="宋体" w:cs="宋体"/>
          <w:b/>
          <w:bCs/>
        </w:rPr>
        <w:t>1、以公允价值计量的资产和负债的期末公允价值</w:t>
      </w:r>
      <w:bookmarkEnd w:id="46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771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期末公允价值</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第一层次公允价值计量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第二层次公允价值计量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第三层次公允价值计量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一、持续的公允价值计量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应收款项融资</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122,921,358.54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122,921,358.54</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（三）其他权益工具投资</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13,763,490.85</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持续以公允价值计量的资产总额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136,684,849.39</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136,684,849.39</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（六）交易性金融负债</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持续以公允价值计量的负债总额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5,460.00</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二、非持续的公允价值计量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E22F4C" w:rsidRDefault="00381575">
      <w:pPr>
        <w:pStyle w:val="3"/>
        <w:spacing w:line="280" w:lineRule="exact"/>
        <w:jc w:val="left"/>
        <w:rPr>
          <w:rFonts w:ascii="宋体" w:hAnsi="宋体" w:cs="宋体"/>
          <w:b/>
          <w:bCs/>
        </w:rPr>
      </w:pPr>
      <w:bookmarkStart w:id="468" w:name="_Toc989357"/>
      <w:r>
        <w:rPr>
          <w:rFonts w:ascii="宋体" w:hAnsi="宋体" w:cs="宋体"/>
          <w:b/>
          <w:bCs/>
        </w:rPr>
        <w:lastRenderedPageBreak/>
        <w:t>2、持续和非持续第一层次公允价值计量项目市价的确定依据</w:t>
      </w:r>
      <w:bookmarkEnd w:id="468"/>
    </w:p>
    <w:p w:rsidR="00E22F4C" w:rsidRDefault="00E22F4C">
      <w:pPr>
        <w:divId w:val="1802723782"/>
        <w:rPr>
          <w:sz w:val="18"/>
          <w:szCs w:val="18"/>
        </w:rPr>
      </w:pPr>
    </w:p>
    <w:p w:rsidR="00E22F4C" w:rsidRDefault="00381575">
      <w:pPr>
        <w:pStyle w:val="3"/>
        <w:spacing w:line="280" w:lineRule="exact"/>
        <w:jc w:val="left"/>
        <w:rPr>
          <w:rFonts w:ascii="宋体" w:hAnsi="宋体" w:cs="宋体"/>
          <w:b/>
          <w:bCs/>
        </w:rPr>
      </w:pPr>
      <w:bookmarkStart w:id="469" w:name="_Toc989358"/>
      <w:r>
        <w:rPr>
          <w:rFonts w:ascii="宋体" w:hAnsi="宋体" w:cs="宋体"/>
          <w:b/>
          <w:bCs/>
        </w:rPr>
        <w:t>3、持续和非持续第二层次公允价值计量项目，采用的估值技术和重要参数的定性及定量信息</w:t>
      </w:r>
      <w:bookmarkEnd w:id="469"/>
    </w:p>
    <w:p w:rsidR="00E22F4C" w:rsidRDefault="00E22F4C">
      <w:pPr>
        <w:divId w:val="1868172474"/>
        <w:rPr>
          <w:sz w:val="18"/>
          <w:szCs w:val="18"/>
        </w:rPr>
      </w:pPr>
    </w:p>
    <w:p w:rsidR="00E22F4C" w:rsidRDefault="00381575">
      <w:pPr>
        <w:pStyle w:val="3"/>
        <w:spacing w:line="280" w:lineRule="exact"/>
        <w:jc w:val="left"/>
        <w:rPr>
          <w:rFonts w:ascii="宋体" w:hAnsi="宋体" w:cs="宋体"/>
          <w:b/>
          <w:bCs/>
        </w:rPr>
      </w:pPr>
      <w:bookmarkStart w:id="470" w:name="_Toc989359"/>
      <w:r>
        <w:rPr>
          <w:rFonts w:ascii="宋体" w:hAnsi="宋体" w:cs="宋体"/>
          <w:b/>
          <w:bCs/>
        </w:rPr>
        <w:t>4、持续和非持续第三层次公允价值计量项目，采用的估值技术和重要参数的定性及定量信息</w:t>
      </w:r>
      <w:bookmarkEnd w:id="470"/>
    </w:p>
    <w:p w:rsidR="00E22F4C" w:rsidRDefault="00E22F4C">
      <w:pPr>
        <w:divId w:val="269557691"/>
        <w:rPr>
          <w:sz w:val="18"/>
          <w:szCs w:val="18"/>
        </w:rPr>
      </w:pPr>
    </w:p>
    <w:p w:rsidR="00E22F4C" w:rsidRDefault="00381575">
      <w:pPr>
        <w:pStyle w:val="3"/>
        <w:spacing w:line="280" w:lineRule="exact"/>
        <w:jc w:val="left"/>
        <w:rPr>
          <w:rFonts w:ascii="宋体" w:hAnsi="宋体" w:cs="宋体"/>
          <w:b/>
          <w:bCs/>
        </w:rPr>
      </w:pPr>
      <w:bookmarkStart w:id="471" w:name="_Toc989360"/>
      <w:r>
        <w:rPr>
          <w:rFonts w:ascii="宋体" w:hAnsi="宋体" w:cs="宋体"/>
          <w:b/>
          <w:bCs/>
        </w:rPr>
        <w:t>5、持续的第三层次公允价值计量项目，期初与期末账面价值间的调节信息及不可观察参数敏感性分析</w:t>
      </w:r>
      <w:bookmarkEnd w:id="471"/>
    </w:p>
    <w:p w:rsidR="00E22F4C" w:rsidRDefault="00E22F4C">
      <w:pPr>
        <w:divId w:val="701172941"/>
        <w:rPr>
          <w:sz w:val="18"/>
          <w:szCs w:val="18"/>
        </w:rPr>
      </w:pPr>
    </w:p>
    <w:p w:rsidR="00E22F4C" w:rsidRDefault="00381575">
      <w:pPr>
        <w:pStyle w:val="3"/>
        <w:spacing w:line="280" w:lineRule="exact"/>
        <w:jc w:val="left"/>
        <w:rPr>
          <w:rFonts w:ascii="宋体" w:hAnsi="宋体" w:cs="宋体"/>
          <w:b/>
          <w:bCs/>
        </w:rPr>
      </w:pPr>
      <w:bookmarkStart w:id="472" w:name="_Toc989361"/>
      <w:r>
        <w:rPr>
          <w:rFonts w:ascii="宋体" w:hAnsi="宋体" w:cs="宋体"/>
          <w:b/>
          <w:bCs/>
        </w:rPr>
        <w:t>6、持续的公允价值计量项目，本期内发生各层级之间转换的，转换的原因及确定转换时点的政策</w:t>
      </w:r>
      <w:bookmarkEnd w:id="472"/>
    </w:p>
    <w:p w:rsidR="00E22F4C" w:rsidRDefault="00E22F4C">
      <w:pPr>
        <w:divId w:val="1151676335"/>
        <w:rPr>
          <w:sz w:val="18"/>
          <w:szCs w:val="18"/>
        </w:rPr>
      </w:pPr>
    </w:p>
    <w:p w:rsidR="00E22F4C" w:rsidRDefault="00381575">
      <w:pPr>
        <w:pStyle w:val="3"/>
        <w:spacing w:line="280" w:lineRule="exact"/>
        <w:jc w:val="left"/>
        <w:rPr>
          <w:rFonts w:ascii="宋体" w:hAnsi="宋体" w:cs="宋体"/>
          <w:b/>
          <w:bCs/>
        </w:rPr>
      </w:pPr>
      <w:bookmarkStart w:id="473" w:name="_Toc989362"/>
      <w:r>
        <w:rPr>
          <w:rFonts w:ascii="宋体" w:hAnsi="宋体" w:cs="宋体"/>
          <w:b/>
          <w:bCs/>
        </w:rPr>
        <w:t>7、本期内发生的估值技术变更及变更原因</w:t>
      </w:r>
      <w:bookmarkEnd w:id="473"/>
    </w:p>
    <w:p w:rsidR="00E22F4C" w:rsidRDefault="00E22F4C">
      <w:pPr>
        <w:divId w:val="973363207"/>
        <w:rPr>
          <w:sz w:val="18"/>
          <w:szCs w:val="18"/>
        </w:rPr>
      </w:pPr>
    </w:p>
    <w:p w:rsidR="00E22F4C" w:rsidRDefault="00381575">
      <w:pPr>
        <w:pStyle w:val="3"/>
        <w:spacing w:line="280" w:lineRule="exact"/>
        <w:jc w:val="left"/>
        <w:rPr>
          <w:rFonts w:ascii="宋体" w:hAnsi="宋体" w:cs="宋体"/>
          <w:b/>
          <w:bCs/>
        </w:rPr>
      </w:pPr>
      <w:bookmarkStart w:id="474" w:name="_Toc989363"/>
      <w:r>
        <w:rPr>
          <w:rFonts w:ascii="宋体" w:hAnsi="宋体" w:cs="宋体"/>
          <w:b/>
          <w:bCs/>
        </w:rPr>
        <w:t>8、不以公允价值计量的金融资产和金融负债的公允价值情况</w:t>
      </w:r>
      <w:bookmarkEnd w:id="474"/>
    </w:p>
    <w:p w:rsidR="00E22F4C" w:rsidRDefault="00E22F4C">
      <w:pPr>
        <w:divId w:val="708729455"/>
        <w:rPr>
          <w:sz w:val="18"/>
          <w:szCs w:val="18"/>
        </w:rPr>
      </w:pPr>
    </w:p>
    <w:p w:rsidR="00E22F4C" w:rsidRDefault="00381575">
      <w:pPr>
        <w:pStyle w:val="3"/>
        <w:spacing w:line="280" w:lineRule="exact"/>
        <w:jc w:val="left"/>
        <w:rPr>
          <w:rFonts w:ascii="宋体" w:hAnsi="宋体" w:cs="宋体"/>
          <w:b/>
          <w:bCs/>
        </w:rPr>
      </w:pPr>
      <w:bookmarkStart w:id="475" w:name="_Toc989364"/>
      <w:r>
        <w:rPr>
          <w:rFonts w:ascii="宋体" w:hAnsi="宋体" w:cs="宋体"/>
          <w:b/>
          <w:bCs/>
        </w:rPr>
        <w:t>9、其他</w:t>
      </w:r>
      <w:bookmarkEnd w:id="475"/>
    </w:p>
    <w:p w:rsidR="00E22F4C" w:rsidRDefault="00E22F4C">
      <w:pPr>
        <w:divId w:val="871844923"/>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476" w:name="_Toc989365"/>
      <w:r>
        <w:rPr>
          <w:rFonts w:ascii="宋体" w:eastAsia="宋体" w:hAnsi="宋体" w:cs="宋体"/>
          <w:b/>
          <w:bCs/>
          <w:sz w:val="24"/>
          <w:szCs w:val="24"/>
        </w:rPr>
        <w:t>十二、关联方及关联交易</w:t>
      </w:r>
      <w:bookmarkEnd w:id="476"/>
    </w:p>
    <w:p w:rsidR="00E22F4C" w:rsidRDefault="00381575">
      <w:pPr>
        <w:pStyle w:val="3"/>
        <w:spacing w:line="280" w:lineRule="exact"/>
        <w:jc w:val="left"/>
        <w:rPr>
          <w:rFonts w:ascii="宋体" w:hAnsi="宋体" w:cs="宋体"/>
          <w:b/>
          <w:bCs/>
        </w:rPr>
      </w:pPr>
      <w:bookmarkStart w:id="477" w:name="_Toc989366"/>
      <w:r>
        <w:rPr>
          <w:rFonts w:ascii="宋体" w:hAnsi="宋体" w:cs="宋体"/>
          <w:b/>
          <w:bCs/>
        </w:rPr>
        <w:t>1、本企业的母公司情况</w:t>
      </w:r>
      <w:bookmarkEnd w:id="477"/>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注册资本</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母公司对本企业的持股比例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母公司对本企业的表决权比例</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本企业的母公司情况的说明</w:t>
      </w:r>
    </w:p>
    <w:p w:rsidR="00E22F4C" w:rsidRDefault="00E22F4C">
      <w:pPr>
        <w:divId w:val="503933020"/>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本企业最终控制方是。</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2135441404"/>
        <w:rPr>
          <w:sz w:val="18"/>
          <w:szCs w:val="18"/>
        </w:rPr>
      </w:pPr>
    </w:p>
    <w:p w:rsidR="00E22F4C" w:rsidRDefault="00381575">
      <w:pPr>
        <w:pStyle w:val="3"/>
        <w:spacing w:line="280" w:lineRule="exact"/>
        <w:jc w:val="left"/>
        <w:rPr>
          <w:rFonts w:ascii="宋体" w:hAnsi="宋体" w:cs="宋体"/>
          <w:b/>
          <w:bCs/>
        </w:rPr>
      </w:pPr>
      <w:bookmarkStart w:id="478" w:name="_Toc989367"/>
      <w:r>
        <w:rPr>
          <w:rFonts w:ascii="宋体" w:hAnsi="宋体" w:cs="宋体"/>
          <w:b/>
          <w:bCs/>
        </w:rPr>
        <w:lastRenderedPageBreak/>
        <w:t>2、本企业的子公司情况</w:t>
      </w:r>
      <w:bookmarkEnd w:id="47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本企业子公司的情况详见附注九-1 在子公司中的权益”。</w:t>
      </w:r>
    </w:p>
    <w:p w:rsidR="00E22F4C" w:rsidRDefault="00381575">
      <w:pPr>
        <w:pStyle w:val="3"/>
        <w:spacing w:line="280" w:lineRule="exact"/>
        <w:jc w:val="left"/>
        <w:rPr>
          <w:rFonts w:ascii="宋体" w:hAnsi="宋体" w:cs="宋体"/>
          <w:b/>
          <w:bCs/>
        </w:rPr>
      </w:pPr>
      <w:bookmarkStart w:id="479" w:name="_Toc989368"/>
      <w:r>
        <w:rPr>
          <w:rFonts w:ascii="宋体" w:hAnsi="宋体" w:cs="宋体"/>
          <w:b/>
          <w:bCs/>
        </w:rPr>
        <w:t>3、本企业合营和联营企业情况</w:t>
      </w:r>
      <w:bookmarkEnd w:id="47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本企业重要的合营或联营企业详见附注注九-3-（1）重要的合营企业或联营企业。</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本期与本公司发生关联方交易，或前期与本公司发生关联方交易形成余额的其他合营或联营企业情况如下：</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合营或联营企业名称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与本企业关系</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577130432"/>
        <w:rPr>
          <w:sz w:val="18"/>
          <w:szCs w:val="18"/>
        </w:rPr>
      </w:pPr>
    </w:p>
    <w:p w:rsidR="00E22F4C" w:rsidRDefault="00381575">
      <w:pPr>
        <w:pStyle w:val="3"/>
        <w:spacing w:line="280" w:lineRule="exact"/>
        <w:jc w:val="left"/>
        <w:rPr>
          <w:rFonts w:ascii="宋体" w:hAnsi="宋体" w:cs="宋体"/>
          <w:b/>
          <w:bCs/>
        </w:rPr>
      </w:pPr>
      <w:bookmarkStart w:id="480" w:name="_Toc989369"/>
      <w:r>
        <w:rPr>
          <w:rFonts w:ascii="宋体" w:hAnsi="宋体" w:cs="宋体"/>
          <w:b/>
          <w:bCs/>
        </w:rPr>
        <w:t>4、其他关联方情况</w:t>
      </w:r>
      <w:bookmarkEnd w:id="480"/>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其他关联方名称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其他关联方与本企业关系</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潮州启龙贸易有限公司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持有本公司股份5%以上的股东、同一控制人</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新疆天科汇能环境工程有限公司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同一控制人</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新疆坤祥矿业开发有限公司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实际控制人参股的企业</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潮州市湘桥区兆丰小额贷款股份有限公司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参股企业</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广州民营投资股份有限公司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参股企业</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佛山市顺德区龙江镇永隆电脑间棉有限公司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实际控制人儿媳胡琦玲父母现持有100%股权</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胡绮玲</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公司董事、总经理陈伟东之配偶</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佟永峰</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公司副总经理、董事会秘书李盛意之配偶</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黄慕洁</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公司监事付胜之配偶</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潮州市东顺祥贸易有限公司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公司董事、总经理陈伟东控制的企业</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潮州市木棉酒店管理有限公司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公司董事、总经理陈伟东参股的企业</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潮州市牧韩旅游文化传播有限公司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公司董事、总经理陈伟东参股的企业</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523174466"/>
        <w:rPr>
          <w:sz w:val="18"/>
          <w:szCs w:val="18"/>
        </w:rPr>
      </w:pPr>
    </w:p>
    <w:p w:rsidR="00E22F4C" w:rsidRDefault="00381575">
      <w:pPr>
        <w:pStyle w:val="3"/>
        <w:spacing w:line="280" w:lineRule="exact"/>
        <w:jc w:val="left"/>
        <w:rPr>
          <w:rFonts w:ascii="宋体" w:hAnsi="宋体" w:cs="宋体"/>
          <w:b/>
          <w:bCs/>
        </w:rPr>
      </w:pPr>
      <w:bookmarkStart w:id="481" w:name="_Toc989370"/>
      <w:r>
        <w:rPr>
          <w:rFonts w:ascii="宋体" w:hAnsi="宋体" w:cs="宋体"/>
          <w:b/>
          <w:bCs/>
        </w:rPr>
        <w:t>5、关联交易情况</w:t>
      </w:r>
      <w:bookmarkEnd w:id="481"/>
    </w:p>
    <w:p w:rsidR="00E22F4C" w:rsidRDefault="00381575">
      <w:pPr>
        <w:keepNext/>
        <w:keepLines/>
        <w:spacing w:before="300" w:after="300" w:line="280" w:lineRule="exact"/>
        <w:outlineLvl w:val="3"/>
        <w:rPr>
          <w:rFonts w:ascii="宋体" w:eastAsia="宋体" w:hAnsi="宋体" w:cs="宋体"/>
          <w:b/>
          <w:bCs/>
          <w:szCs w:val="21"/>
        </w:rPr>
      </w:pPr>
      <w:bookmarkStart w:id="482" w:name="_Toc989371"/>
      <w:r>
        <w:rPr>
          <w:rFonts w:ascii="宋体" w:eastAsia="宋体" w:hAnsi="宋体" w:cs="宋体"/>
          <w:b/>
          <w:bCs/>
          <w:szCs w:val="21"/>
        </w:rPr>
        <w:t>（1） 购销商品、提供和接受劳务的关联交易</w:t>
      </w:r>
      <w:bookmarkEnd w:id="48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采购商品/接受劳务情况表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关联交易内容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获批的交易额度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是否超过交易额度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出售商品/提供劳务情况表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购销商品、提供和接受劳务的关联交易说明</w:t>
      </w:r>
    </w:p>
    <w:p w:rsidR="00E22F4C" w:rsidRDefault="00E22F4C">
      <w:pPr>
        <w:divId w:val="1275361806"/>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83" w:name="_Toc989372"/>
      <w:r>
        <w:rPr>
          <w:rFonts w:ascii="宋体" w:eastAsia="宋体" w:hAnsi="宋体" w:cs="宋体"/>
          <w:b/>
          <w:bCs/>
          <w:szCs w:val="21"/>
        </w:rPr>
        <w:lastRenderedPageBreak/>
        <w:t>（2） 关联受托管理/承包及委托管理/出包情况</w:t>
      </w:r>
      <w:bookmarkEnd w:id="48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本公司受托管理/承包情况表：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委托方/出包方名称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受托方/承包方名称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受托/承包资产类型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受托/承包起始日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受托/承包终止日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托管收益/承包收益定价依据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本期确认的托管收益/承包收益</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关联托管/承包情况说明</w:t>
      </w:r>
    </w:p>
    <w:p w:rsidR="00E22F4C" w:rsidRDefault="00E22F4C">
      <w:pPr>
        <w:divId w:val="283465883"/>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本公司委托管理/出包情况表：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委托方/出包方名称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受托方/承包方名称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委托/出包资产类型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委托/出包起始日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委托/出包终止日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托管费/出包费定价依据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本期确认的托管费/出包费</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关联管理/出包情况说明</w:t>
      </w:r>
    </w:p>
    <w:p w:rsidR="00E22F4C" w:rsidRDefault="00E22F4C">
      <w:pPr>
        <w:divId w:val="667562194"/>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84" w:name="_Toc989373"/>
      <w:r>
        <w:rPr>
          <w:rFonts w:ascii="宋体" w:eastAsia="宋体" w:hAnsi="宋体" w:cs="宋体"/>
          <w:b/>
          <w:bCs/>
          <w:szCs w:val="21"/>
        </w:rPr>
        <w:t>（3） 关联租赁情况</w:t>
      </w:r>
      <w:bookmarkEnd w:id="484"/>
    </w:p>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本公司作为出租方：</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承租方名称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租赁资产种类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本期确认的租赁收入</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上期确认的租赁收入</w:t>
            </w:r>
          </w:p>
        </w:tc>
      </w:tr>
    </w:tbl>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本公司作为承租方：</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4"/>
        <w:gridCol w:w="804"/>
        <w:gridCol w:w="804"/>
        <w:gridCol w:w="803"/>
        <w:gridCol w:w="803"/>
        <w:gridCol w:w="803"/>
        <w:gridCol w:w="803"/>
        <w:gridCol w:w="803"/>
        <w:gridCol w:w="803"/>
        <w:gridCol w:w="803"/>
        <w:gridCol w:w="803"/>
        <w:gridCol w:w="803"/>
      </w:tblGrid>
      <w:tr w:rsidR="00E22F4C">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出租方名称</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租赁资产种类</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简化处理的短期租赁和低价值资产租赁的租金费用（如适用）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未纳入租赁负债计量的可变租赁付款额（如适用）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支付的租金</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承担的租赁负债利息支出</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增加的使用权资产</w:t>
            </w:r>
          </w:p>
        </w:tc>
      </w:tr>
      <w:tr w:rsidR="00E22F4C">
        <w:trPr>
          <w:trHeight w:val="240"/>
        </w:trPr>
        <w:tc>
          <w:tcPr>
            <w:tcW w:w="803"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803" w:type="dxa"/>
            <w:vMerge/>
            <w:tcBorders>
              <w:top w:val="single" w:sz="2" w:space="0" w:color="auto"/>
              <w:left w:val="single" w:sz="2" w:space="0" w:color="auto"/>
              <w:bottom w:val="single" w:sz="2" w:space="0" w:color="auto"/>
              <w:right w:val="single" w:sz="2" w:space="0" w:color="auto"/>
            </w:tcBorders>
            <w:vAlign w:val="center"/>
          </w:tcPr>
          <w:p w:rsidR="00E22F4C" w:rsidRDefault="00E22F4C"/>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关联租赁情况说明</w:t>
      </w:r>
    </w:p>
    <w:p w:rsidR="00E22F4C" w:rsidRDefault="00E22F4C">
      <w:pPr>
        <w:divId w:val="1058285667"/>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85" w:name="_Toc989374"/>
      <w:r>
        <w:rPr>
          <w:rFonts w:ascii="宋体" w:eastAsia="宋体" w:hAnsi="宋体" w:cs="宋体"/>
          <w:b/>
          <w:bCs/>
          <w:szCs w:val="21"/>
        </w:rPr>
        <w:t>（4） 关联担保情况</w:t>
      </w:r>
      <w:bookmarkEnd w:id="48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本公司作为担保方</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被担保方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担保是否已经履行完毕</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2020年06月22日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2023年06月21日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2020年11月06日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2026年12月31日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2021年01月18日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2024年01月17日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w:t>
            </w:r>
            <w:r>
              <w:rPr>
                <w:rFonts w:ascii="宋体" w:eastAsia="宋体" w:hAnsi="宋体" w:cs="宋体"/>
                <w:sz w:val="18"/>
                <w:szCs w:val="18"/>
              </w:rPr>
              <w:lastRenderedPageBreak/>
              <w:t>司</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lastRenderedPageBreak/>
              <w:t>80,000,000.00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2022年05月10日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2026年09月27日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lastRenderedPageBreak/>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2022年09月19日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2023年10月24日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本公司作为被担保方</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担保是否已经履行完毕</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2019年06月14日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2023年06月30日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2020年11月28日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2025年11月28日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2021年01月18日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2024年01月17日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2021年01月25日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2024年01月24日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2021年07月01日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2027年07月31日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2022年07月26日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2023年07月26日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2018年05月21日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2023年12月31日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2020年11月06日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2026年12月31日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2022年01月11日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2024年01月10日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2022年03月23日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2023年03月22日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2022年08月29日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2023年08月24日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62,500,000.00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2022年03月16日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2023年05月18日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68,000,000.00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2022年09月15日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2023年09月14日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2021年06月25日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2025年06月30日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2022年09月19日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2025年09月18日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156,000,000.00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2021年01月18日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2024年01月17日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160,000,000.00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2020年11月06日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2026年12月31日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50,000,000.00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2022年03月23日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2023年03月22日</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否</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关联担保情况说明</w:t>
      </w:r>
    </w:p>
    <w:p w:rsidR="00E22F4C" w:rsidRDefault="00E22F4C">
      <w:pPr>
        <w:divId w:val="1330060250"/>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486" w:name="_Toc989375"/>
      <w:r>
        <w:rPr>
          <w:rFonts w:ascii="宋体" w:eastAsia="宋体" w:hAnsi="宋体" w:cs="宋体"/>
          <w:b/>
          <w:bCs/>
          <w:szCs w:val="21"/>
        </w:rPr>
        <w:t>（5） 关联方资金拆借</w:t>
      </w:r>
      <w:bookmarkEnd w:id="48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拆借金额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说明</w:t>
            </w:r>
          </w:p>
        </w:tc>
      </w:tr>
      <w:tr w:rsidR="00E22F4C">
        <w:trPr>
          <w:trHeight w:val="240"/>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拆入</w:t>
            </w:r>
          </w:p>
        </w:tc>
      </w:tr>
      <w:tr w:rsidR="00E22F4C">
        <w:trPr>
          <w:trHeight w:val="240"/>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拆出</w:t>
            </w:r>
          </w:p>
        </w:tc>
      </w:tr>
    </w:tbl>
    <w:p w:rsidR="00E22F4C" w:rsidRDefault="00381575">
      <w:pPr>
        <w:keepNext/>
        <w:keepLines/>
        <w:spacing w:before="300" w:after="300" w:line="280" w:lineRule="exact"/>
        <w:outlineLvl w:val="3"/>
        <w:rPr>
          <w:rFonts w:ascii="宋体" w:eastAsia="宋体" w:hAnsi="宋体" w:cs="宋体"/>
          <w:b/>
          <w:bCs/>
          <w:szCs w:val="21"/>
        </w:rPr>
      </w:pPr>
      <w:bookmarkStart w:id="487" w:name="_Toc989376"/>
      <w:r>
        <w:rPr>
          <w:rFonts w:ascii="宋体" w:eastAsia="宋体" w:hAnsi="宋体" w:cs="宋体"/>
          <w:b/>
          <w:bCs/>
          <w:szCs w:val="21"/>
        </w:rPr>
        <w:t>（6） 关联方资产转让、债务重组情况</w:t>
      </w:r>
      <w:bookmarkEnd w:id="48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rsidR="00E22F4C" w:rsidRDefault="00381575">
      <w:pPr>
        <w:keepNext/>
        <w:keepLines/>
        <w:spacing w:before="300" w:after="300" w:line="280" w:lineRule="exact"/>
        <w:outlineLvl w:val="3"/>
        <w:rPr>
          <w:rFonts w:ascii="宋体" w:eastAsia="宋体" w:hAnsi="宋体" w:cs="宋体"/>
          <w:b/>
          <w:bCs/>
          <w:szCs w:val="21"/>
        </w:rPr>
      </w:pPr>
      <w:bookmarkStart w:id="488" w:name="_Toc989377"/>
      <w:r>
        <w:rPr>
          <w:rFonts w:ascii="宋体" w:eastAsia="宋体" w:hAnsi="宋体" w:cs="宋体"/>
          <w:b/>
          <w:bCs/>
          <w:szCs w:val="21"/>
        </w:rPr>
        <w:t>（7） 关键管理人员报酬</w:t>
      </w:r>
      <w:bookmarkEnd w:id="48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关键管理人员报酬</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2,453,676.09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2,107,773.00</w:t>
            </w:r>
          </w:p>
        </w:tc>
      </w:tr>
    </w:tbl>
    <w:p w:rsidR="00E22F4C" w:rsidRDefault="00381575">
      <w:pPr>
        <w:keepNext/>
        <w:keepLines/>
        <w:spacing w:before="300" w:after="300" w:line="280" w:lineRule="exact"/>
        <w:outlineLvl w:val="3"/>
        <w:rPr>
          <w:rFonts w:ascii="宋体" w:eastAsia="宋体" w:hAnsi="宋体" w:cs="宋体"/>
          <w:b/>
          <w:bCs/>
          <w:szCs w:val="21"/>
        </w:rPr>
      </w:pPr>
      <w:bookmarkStart w:id="489" w:name="_Toc989378"/>
      <w:r>
        <w:rPr>
          <w:rFonts w:ascii="宋体" w:eastAsia="宋体" w:hAnsi="宋体" w:cs="宋体"/>
          <w:b/>
          <w:bCs/>
          <w:szCs w:val="21"/>
        </w:rPr>
        <w:t>（8） 其他关联交易</w:t>
      </w:r>
      <w:bookmarkEnd w:id="489"/>
    </w:p>
    <w:p w:rsidR="00E22F4C" w:rsidRDefault="00E22F4C">
      <w:pPr>
        <w:divId w:val="551580713"/>
        <w:rPr>
          <w:sz w:val="18"/>
          <w:szCs w:val="18"/>
        </w:rPr>
      </w:pPr>
    </w:p>
    <w:p w:rsidR="00E22F4C" w:rsidRDefault="00381575">
      <w:pPr>
        <w:pStyle w:val="3"/>
        <w:spacing w:line="280" w:lineRule="exact"/>
        <w:jc w:val="left"/>
        <w:rPr>
          <w:rFonts w:ascii="宋体" w:hAnsi="宋体" w:cs="宋体"/>
          <w:b/>
          <w:bCs/>
        </w:rPr>
      </w:pPr>
      <w:bookmarkStart w:id="490" w:name="_Toc989379"/>
      <w:r>
        <w:rPr>
          <w:rFonts w:ascii="宋体" w:hAnsi="宋体" w:cs="宋体"/>
          <w:b/>
          <w:bCs/>
        </w:rPr>
        <w:lastRenderedPageBreak/>
        <w:t>6、关联方应收应付款项</w:t>
      </w:r>
      <w:bookmarkEnd w:id="490"/>
    </w:p>
    <w:p w:rsidR="00E22F4C" w:rsidRDefault="00381575">
      <w:pPr>
        <w:keepNext/>
        <w:keepLines/>
        <w:spacing w:before="300" w:after="300" w:line="280" w:lineRule="exact"/>
        <w:outlineLvl w:val="3"/>
        <w:rPr>
          <w:rFonts w:ascii="宋体" w:eastAsia="宋体" w:hAnsi="宋体" w:cs="宋体"/>
          <w:b/>
          <w:bCs/>
          <w:szCs w:val="21"/>
        </w:rPr>
      </w:pPr>
      <w:bookmarkStart w:id="491" w:name="_Toc989380"/>
      <w:r>
        <w:rPr>
          <w:rFonts w:ascii="宋体" w:eastAsia="宋体" w:hAnsi="宋体" w:cs="宋体"/>
          <w:b/>
          <w:bCs/>
          <w:szCs w:val="21"/>
        </w:rPr>
        <w:t>（1） 应收项目</w:t>
      </w:r>
      <w:bookmarkEnd w:id="49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7"/>
        <w:gridCol w:w="1606"/>
        <w:gridCol w:w="1606"/>
        <w:gridCol w:w="1607"/>
        <w:gridCol w:w="1606"/>
        <w:gridCol w:w="1607"/>
      </w:tblGrid>
      <w:tr w:rsidR="00E22F4C">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r>
    </w:tbl>
    <w:p w:rsidR="00E22F4C" w:rsidRDefault="00381575">
      <w:pPr>
        <w:keepNext/>
        <w:keepLines/>
        <w:spacing w:before="300" w:after="300" w:line="280" w:lineRule="exact"/>
        <w:outlineLvl w:val="3"/>
        <w:rPr>
          <w:rFonts w:ascii="宋体" w:eastAsia="宋体" w:hAnsi="宋体" w:cs="宋体"/>
          <w:b/>
          <w:bCs/>
          <w:szCs w:val="21"/>
        </w:rPr>
      </w:pPr>
      <w:bookmarkStart w:id="492" w:name="_Toc989381"/>
      <w:r>
        <w:rPr>
          <w:rFonts w:ascii="宋体" w:eastAsia="宋体" w:hAnsi="宋体" w:cs="宋体"/>
          <w:b/>
          <w:bCs/>
          <w:szCs w:val="21"/>
        </w:rPr>
        <w:t>（2） 应付项目</w:t>
      </w:r>
      <w:bookmarkEnd w:id="49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期初账面余额</w:t>
            </w:r>
          </w:p>
        </w:tc>
      </w:tr>
    </w:tbl>
    <w:p w:rsidR="00E22F4C" w:rsidRDefault="00381575">
      <w:pPr>
        <w:pStyle w:val="3"/>
        <w:spacing w:line="280" w:lineRule="exact"/>
        <w:jc w:val="left"/>
        <w:rPr>
          <w:rFonts w:ascii="宋体" w:hAnsi="宋体" w:cs="宋体"/>
          <w:b/>
          <w:bCs/>
        </w:rPr>
      </w:pPr>
      <w:bookmarkStart w:id="493" w:name="_Toc989382"/>
      <w:r>
        <w:rPr>
          <w:rFonts w:ascii="宋体" w:hAnsi="宋体" w:cs="宋体"/>
          <w:b/>
          <w:bCs/>
        </w:rPr>
        <w:t>7、关联方承诺</w:t>
      </w:r>
      <w:bookmarkEnd w:id="493"/>
    </w:p>
    <w:p w:rsidR="00E22F4C" w:rsidRDefault="00E22F4C">
      <w:pPr>
        <w:divId w:val="416632724"/>
        <w:rPr>
          <w:sz w:val="18"/>
          <w:szCs w:val="18"/>
        </w:rPr>
      </w:pPr>
    </w:p>
    <w:p w:rsidR="00E22F4C" w:rsidRDefault="00381575">
      <w:pPr>
        <w:pStyle w:val="3"/>
        <w:spacing w:line="280" w:lineRule="exact"/>
        <w:jc w:val="left"/>
        <w:rPr>
          <w:rFonts w:ascii="宋体" w:hAnsi="宋体" w:cs="宋体"/>
          <w:b/>
          <w:bCs/>
        </w:rPr>
      </w:pPr>
      <w:bookmarkStart w:id="494" w:name="_Toc989383"/>
      <w:r>
        <w:rPr>
          <w:rFonts w:ascii="宋体" w:hAnsi="宋体" w:cs="宋体"/>
          <w:b/>
          <w:bCs/>
        </w:rPr>
        <w:t>8、其他</w:t>
      </w:r>
      <w:bookmarkEnd w:id="494"/>
    </w:p>
    <w:p w:rsidR="00E22F4C" w:rsidRDefault="00E22F4C">
      <w:pPr>
        <w:divId w:val="685251554"/>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495" w:name="_Toc989384"/>
      <w:r>
        <w:rPr>
          <w:rFonts w:ascii="宋体" w:eastAsia="宋体" w:hAnsi="宋体" w:cs="宋体"/>
          <w:b/>
          <w:bCs/>
          <w:sz w:val="24"/>
          <w:szCs w:val="24"/>
        </w:rPr>
        <w:t>十三、股份支付</w:t>
      </w:r>
      <w:bookmarkEnd w:id="495"/>
    </w:p>
    <w:p w:rsidR="00E22F4C" w:rsidRDefault="00381575">
      <w:pPr>
        <w:pStyle w:val="3"/>
        <w:spacing w:line="280" w:lineRule="exact"/>
        <w:jc w:val="left"/>
        <w:rPr>
          <w:rFonts w:ascii="宋体" w:hAnsi="宋体" w:cs="宋体"/>
          <w:b/>
          <w:bCs/>
        </w:rPr>
      </w:pPr>
      <w:bookmarkStart w:id="496" w:name="_Toc989385"/>
      <w:r>
        <w:rPr>
          <w:rFonts w:ascii="宋体" w:hAnsi="宋体" w:cs="宋体"/>
          <w:b/>
          <w:bCs/>
        </w:rPr>
        <w:t>1、股份支付总体情况</w:t>
      </w:r>
      <w:bookmarkEnd w:id="49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公司本期授予的各项权益工具总额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公司本期行权的各项权益工具总额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1,852,000.00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公司本期失效的各项权益工具总额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公司期末发行在外的股票期权行权价格的范围和合同剩余期限</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5.29元/股，1.83年</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pStyle w:val="a4"/>
        <w:spacing w:before="120" w:beforeAutospacing="0" w:after="0" w:afterAutospacing="0" w:line="460" w:lineRule="atLeast"/>
        <w:ind w:firstLine="424"/>
        <w:jc w:val="both"/>
        <w:divId w:val="1581253425"/>
        <w:rPr>
          <w:rFonts w:ascii="Times New Roman" w:hAnsi="Times New Roman" w:cs="Times New Roman"/>
          <w:sz w:val="21"/>
          <w:szCs w:val="21"/>
        </w:rPr>
      </w:pPr>
      <w:r>
        <w:rPr>
          <w:rFonts w:ascii="Times New Roman" w:hAnsi="Times New Roman" w:cs="Times New Roman"/>
          <w:sz w:val="21"/>
          <w:szCs w:val="21"/>
        </w:rPr>
        <w:t>1</w:t>
      </w:r>
      <w:r>
        <w:rPr>
          <w:rFonts w:cs="Times New Roman" w:hint="eastAsia"/>
          <w:sz w:val="21"/>
          <w:szCs w:val="21"/>
        </w:rPr>
        <w:t>、公司第四届董事会</w:t>
      </w:r>
      <w:r>
        <w:rPr>
          <w:rFonts w:ascii="Times New Roman" w:hAnsi="Times New Roman" w:cs="Times New Roman"/>
          <w:sz w:val="21"/>
          <w:szCs w:val="21"/>
        </w:rPr>
        <w:t>2021</w:t>
      </w:r>
      <w:r>
        <w:rPr>
          <w:rFonts w:cs="Times New Roman" w:hint="eastAsia"/>
          <w:sz w:val="21"/>
          <w:szCs w:val="21"/>
        </w:rPr>
        <w:t>年第六次临时会议和第四届监事会第七次会议于</w:t>
      </w: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11</w:t>
      </w:r>
      <w:r>
        <w:rPr>
          <w:rFonts w:cs="Times New Roman" w:hint="eastAsia"/>
          <w:sz w:val="21"/>
          <w:szCs w:val="21"/>
        </w:rPr>
        <w:t>月</w:t>
      </w:r>
      <w:r>
        <w:rPr>
          <w:rFonts w:ascii="Times New Roman" w:hAnsi="Times New Roman" w:cs="Times New Roman"/>
          <w:sz w:val="21"/>
          <w:szCs w:val="21"/>
        </w:rPr>
        <w:t>3</w:t>
      </w:r>
      <w:r>
        <w:rPr>
          <w:rFonts w:cs="Times New Roman" w:hint="eastAsia"/>
          <w:sz w:val="21"/>
          <w:szCs w:val="21"/>
        </w:rPr>
        <w:t>日召开，审议通过了《关于调整公司</w:t>
      </w:r>
      <w:r>
        <w:rPr>
          <w:rFonts w:ascii="Times New Roman" w:hAnsi="Times New Roman" w:cs="Times New Roman"/>
          <w:sz w:val="21"/>
          <w:szCs w:val="21"/>
        </w:rPr>
        <w:t>2021</w:t>
      </w:r>
      <w:r>
        <w:rPr>
          <w:rFonts w:cs="Times New Roman" w:hint="eastAsia"/>
          <w:sz w:val="21"/>
          <w:szCs w:val="21"/>
        </w:rPr>
        <w:t>年限制性股票激励计划相关事项的议案》、《关于向公司</w:t>
      </w:r>
      <w:r>
        <w:rPr>
          <w:rFonts w:ascii="Times New Roman" w:hAnsi="Times New Roman" w:cs="Times New Roman"/>
          <w:sz w:val="21"/>
          <w:szCs w:val="21"/>
        </w:rPr>
        <w:t>2021</w:t>
      </w:r>
      <w:r>
        <w:rPr>
          <w:rFonts w:cs="Times New Roman" w:hint="eastAsia"/>
          <w:sz w:val="21"/>
          <w:szCs w:val="21"/>
        </w:rPr>
        <w:t>年限制性股票激励计划激励对象首次授予限制性股票相关事项的议案》，确定公司限制性股票的首次授予日为</w:t>
      </w: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11</w:t>
      </w:r>
      <w:r>
        <w:rPr>
          <w:rFonts w:cs="Times New Roman" w:hint="eastAsia"/>
          <w:sz w:val="21"/>
          <w:szCs w:val="21"/>
        </w:rPr>
        <w:t>月</w:t>
      </w:r>
      <w:r>
        <w:rPr>
          <w:rFonts w:ascii="Times New Roman" w:hAnsi="Times New Roman" w:cs="Times New Roman"/>
          <w:sz w:val="21"/>
          <w:szCs w:val="21"/>
        </w:rPr>
        <w:t>3</w:t>
      </w:r>
      <w:r>
        <w:rPr>
          <w:rFonts w:cs="Times New Roman" w:hint="eastAsia"/>
          <w:sz w:val="21"/>
          <w:szCs w:val="21"/>
        </w:rPr>
        <w:t>日，向</w:t>
      </w:r>
      <w:r>
        <w:rPr>
          <w:rFonts w:ascii="Times New Roman" w:hAnsi="Times New Roman" w:cs="Times New Roman"/>
          <w:sz w:val="21"/>
          <w:szCs w:val="21"/>
        </w:rPr>
        <w:t>116</w:t>
      </w:r>
      <w:r>
        <w:rPr>
          <w:rFonts w:cs="Times New Roman" w:hint="eastAsia"/>
          <w:sz w:val="21"/>
          <w:szCs w:val="21"/>
        </w:rPr>
        <w:t>名激励对象首次授予</w:t>
      </w:r>
      <w:r>
        <w:rPr>
          <w:rFonts w:ascii="Times New Roman" w:hAnsi="Times New Roman" w:cs="Times New Roman"/>
          <w:sz w:val="21"/>
          <w:szCs w:val="21"/>
        </w:rPr>
        <w:t>467</w:t>
      </w:r>
      <w:r>
        <w:rPr>
          <w:rFonts w:cs="Times New Roman" w:hint="eastAsia"/>
          <w:sz w:val="21"/>
          <w:szCs w:val="21"/>
        </w:rPr>
        <w:t>万股限制性股票，授予价格为每股</w:t>
      </w:r>
      <w:r>
        <w:rPr>
          <w:rFonts w:ascii="Times New Roman" w:hAnsi="Times New Roman" w:cs="Times New Roman"/>
          <w:sz w:val="21"/>
          <w:szCs w:val="21"/>
        </w:rPr>
        <w:t>5.39</w:t>
      </w:r>
      <w:r>
        <w:rPr>
          <w:rFonts w:cs="Times New Roman" w:hint="eastAsia"/>
          <w:sz w:val="21"/>
          <w:szCs w:val="21"/>
        </w:rPr>
        <w:t>元。</w:t>
      </w:r>
    </w:p>
    <w:p w:rsidR="00E22F4C" w:rsidRDefault="00E22F4C">
      <w:pPr>
        <w:pStyle w:val="a4"/>
        <w:spacing w:before="120" w:beforeAutospacing="0" w:after="0" w:afterAutospacing="0" w:line="460" w:lineRule="atLeast"/>
        <w:ind w:firstLine="424"/>
        <w:jc w:val="both"/>
        <w:divId w:val="1581253425"/>
        <w:rPr>
          <w:rFonts w:ascii="Times New Roman" w:hAnsi="Times New Roman" w:cs="Times New Roman"/>
          <w:sz w:val="21"/>
          <w:szCs w:val="21"/>
        </w:rPr>
      </w:pPr>
      <w:r>
        <w:rPr>
          <w:rFonts w:ascii="Times New Roman" w:hAnsi="Times New Roman" w:cs="Times New Roman"/>
          <w:sz w:val="21"/>
          <w:szCs w:val="21"/>
        </w:rPr>
        <w:t>2</w:t>
      </w:r>
      <w:r>
        <w:rPr>
          <w:rFonts w:cs="Times New Roman" w:hint="eastAsia"/>
          <w:sz w:val="21"/>
          <w:szCs w:val="21"/>
        </w:rPr>
        <w:t>、本次激励计划有效期为自授予日</w:t>
      </w: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11</w:t>
      </w:r>
      <w:r>
        <w:rPr>
          <w:rFonts w:cs="Times New Roman" w:hint="eastAsia"/>
          <w:sz w:val="21"/>
          <w:szCs w:val="21"/>
        </w:rPr>
        <w:t>月</w:t>
      </w:r>
      <w:r>
        <w:rPr>
          <w:rFonts w:ascii="Times New Roman" w:hAnsi="Times New Roman" w:cs="Times New Roman"/>
          <w:sz w:val="21"/>
          <w:szCs w:val="21"/>
        </w:rPr>
        <w:t>3</w:t>
      </w:r>
      <w:r>
        <w:rPr>
          <w:rFonts w:cs="Times New Roman" w:hint="eastAsia"/>
          <w:sz w:val="21"/>
          <w:szCs w:val="21"/>
        </w:rPr>
        <w:t>日起</w:t>
      </w:r>
      <w:r>
        <w:rPr>
          <w:rFonts w:ascii="Times New Roman" w:hAnsi="Times New Roman" w:cs="Times New Roman"/>
          <w:sz w:val="21"/>
          <w:szCs w:val="21"/>
        </w:rPr>
        <w:t>3</w:t>
      </w:r>
      <w:r>
        <w:rPr>
          <w:rFonts w:cs="Times New Roman" w:hint="eastAsia"/>
          <w:sz w:val="21"/>
          <w:szCs w:val="21"/>
        </w:rPr>
        <w:t>年，自授予日起满</w:t>
      </w:r>
      <w:r>
        <w:rPr>
          <w:rFonts w:ascii="Times New Roman" w:hAnsi="Times New Roman" w:cs="Times New Roman"/>
          <w:sz w:val="21"/>
          <w:szCs w:val="21"/>
        </w:rPr>
        <w:t>12</w:t>
      </w:r>
      <w:r>
        <w:rPr>
          <w:rFonts w:cs="Times New Roman" w:hint="eastAsia"/>
          <w:sz w:val="21"/>
          <w:szCs w:val="21"/>
        </w:rPr>
        <w:t>个月后分三期解锁，每期解锁的比例分别为</w:t>
      </w:r>
      <w:r>
        <w:rPr>
          <w:rFonts w:ascii="Times New Roman" w:hAnsi="Times New Roman" w:cs="Times New Roman"/>
          <w:sz w:val="21"/>
          <w:szCs w:val="21"/>
        </w:rPr>
        <w:t>40%</w:t>
      </w:r>
      <w:r>
        <w:rPr>
          <w:rFonts w:cs="Times New Roman" w:hint="eastAsia"/>
          <w:sz w:val="21"/>
          <w:szCs w:val="21"/>
        </w:rPr>
        <w:t xml:space="preserve">、 </w:t>
      </w:r>
      <w:r>
        <w:rPr>
          <w:rFonts w:ascii="Times New Roman" w:hAnsi="Times New Roman" w:cs="Times New Roman"/>
          <w:sz w:val="21"/>
          <w:szCs w:val="21"/>
        </w:rPr>
        <w:t>30%</w:t>
      </w:r>
      <w:r>
        <w:rPr>
          <w:rFonts w:cs="Times New Roman" w:hint="eastAsia"/>
          <w:sz w:val="21"/>
          <w:szCs w:val="21"/>
        </w:rPr>
        <w:t xml:space="preserve">、 </w:t>
      </w:r>
      <w:r>
        <w:rPr>
          <w:rFonts w:ascii="Times New Roman" w:hAnsi="Times New Roman" w:cs="Times New Roman"/>
          <w:sz w:val="21"/>
          <w:szCs w:val="21"/>
        </w:rPr>
        <w:t>30%</w:t>
      </w:r>
      <w:r>
        <w:rPr>
          <w:rFonts w:cs="Times New Roman" w:hint="eastAsia"/>
          <w:sz w:val="21"/>
          <w:szCs w:val="21"/>
        </w:rPr>
        <w:t xml:space="preserve">。解锁业绩考核条件包括： </w:t>
      </w:r>
      <w:r>
        <w:rPr>
          <w:rFonts w:ascii="Times New Roman" w:hAnsi="Times New Roman" w:cs="Times New Roman"/>
          <w:sz w:val="21"/>
          <w:szCs w:val="21"/>
        </w:rPr>
        <w:t>2021</w:t>
      </w:r>
      <w:r>
        <w:rPr>
          <w:rFonts w:cs="Times New Roman" w:hint="eastAsia"/>
          <w:sz w:val="21"/>
          <w:szCs w:val="21"/>
        </w:rPr>
        <w:t>年净利润为正数；以</w:t>
      </w:r>
      <w:r>
        <w:rPr>
          <w:rFonts w:ascii="Times New Roman" w:hAnsi="Times New Roman" w:cs="Times New Roman"/>
          <w:sz w:val="21"/>
          <w:szCs w:val="21"/>
        </w:rPr>
        <w:t>2021</w:t>
      </w:r>
      <w:r>
        <w:rPr>
          <w:rFonts w:cs="Times New Roman" w:hint="eastAsia"/>
          <w:sz w:val="21"/>
          <w:szCs w:val="21"/>
        </w:rPr>
        <w:lastRenderedPageBreak/>
        <w:t>年净利润为基础，</w:t>
      </w:r>
      <w:r>
        <w:rPr>
          <w:rFonts w:ascii="Times New Roman" w:hAnsi="Times New Roman" w:cs="Times New Roman"/>
          <w:sz w:val="21"/>
          <w:szCs w:val="21"/>
        </w:rPr>
        <w:t>2022</w:t>
      </w:r>
      <w:r>
        <w:rPr>
          <w:rFonts w:cs="Times New Roman" w:hint="eastAsia"/>
          <w:sz w:val="21"/>
          <w:szCs w:val="21"/>
        </w:rPr>
        <w:t>年净利润增长率不低于</w:t>
      </w:r>
      <w:r>
        <w:rPr>
          <w:rFonts w:ascii="Times New Roman" w:hAnsi="Times New Roman" w:cs="Times New Roman"/>
          <w:sz w:val="21"/>
          <w:szCs w:val="21"/>
        </w:rPr>
        <w:t>10%</w:t>
      </w:r>
      <w:r>
        <w:rPr>
          <w:rFonts w:cs="Times New Roman" w:hint="eastAsia"/>
          <w:sz w:val="21"/>
          <w:szCs w:val="21"/>
        </w:rPr>
        <w:t>；以</w:t>
      </w:r>
      <w:r>
        <w:rPr>
          <w:rFonts w:ascii="Times New Roman" w:hAnsi="Times New Roman" w:cs="Times New Roman"/>
          <w:sz w:val="21"/>
          <w:szCs w:val="21"/>
        </w:rPr>
        <w:t>2021</w:t>
      </w:r>
      <w:r>
        <w:rPr>
          <w:rFonts w:cs="Times New Roman" w:hint="eastAsia"/>
          <w:sz w:val="21"/>
          <w:szCs w:val="21"/>
        </w:rPr>
        <w:t>年净利润为基础，</w:t>
      </w:r>
      <w:r>
        <w:rPr>
          <w:rFonts w:ascii="Times New Roman" w:hAnsi="Times New Roman" w:cs="Times New Roman"/>
          <w:sz w:val="21"/>
          <w:szCs w:val="21"/>
        </w:rPr>
        <w:t>2023</w:t>
      </w:r>
      <w:r>
        <w:rPr>
          <w:rFonts w:cs="Times New Roman" w:hint="eastAsia"/>
          <w:sz w:val="21"/>
          <w:szCs w:val="21"/>
        </w:rPr>
        <w:t>年净利润增长率不低于</w:t>
      </w:r>
      <w:r>
        <w:rPr>
          <w:rFonts w:ascii="Times New Roman" w:hAnsi="Times New Roman" w:cs="Times New Roman"/>
          <w:sz w:val="21"/>
          <w:szCs w:val="21"/>
        </w:rPr>
        <w:t>25%</w:t>
      </w:r>
      <w:r>
        <w:rPr>
          <w:rFonts w:cs="Times New Roman" w:hint="eastAsia"/>
          <w:sz w:val="21"/>
          <w:szCs w:val="21"/>
        </w:rPr>
        <w:t>。</w:t>
      </w:r>
    </w:p>
    <w:p w:rsidR="00E22F4C" w:rsidRDefault="00381575">
      <w:pPr>
        <w:pStyle w:val="3"/>
        <w:spacing w:line="280" w:lineRule="exact"/>
        <w:jc w:val="left"/>
        <w:rPr>
          <w:rFonts w:ascii="宋体" w:hAnsi="宋体" w:cs="宋体"/>
          <w:b/>
          <w:bCs/>
        </w:rPr>
      </w:pPr>
      <w:bookmarkStart w:id="497" w:name="_Toc989386"/>
      <w:r>
        <w:rPr>
          <w:rFonts w:ascii="宋体" w:hAnsi="宋体" w:cs="宋体"/>
          <w:b/>
          <w:bCs/>
        </w:rPr>
        <w:t>2、以权益结算的股份支付情况</w:t>
      </w:r>
      <w:bookmarkEnd w:id="497"/>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授予日权益工具公允价值的确定方法</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根据授予日的股票收盘价9.15元为基础计算确定。</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可行权权益工具数量的确定依据</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公司根据在职激励对象对应的权益工具、以及对未来年度公司业绩的预测进行确定</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本期估计与上期估计有重大差异的原因</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不适用</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以权益结算的股份支付计入资本公积的累计金额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8,994,546.67</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本期以权益结算的股份支付确认的费用总额</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7,092,300.00</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pStyle w:val="a4"/>
        <w:divId w:val="1468814518"/>
        <w:rPr>
          <w:sz w:val="18"/>
          <w:szCs w:val="18"/>
        </w:rPr>
      </w:pPr>
      <w:r>
        <w:rPr>
          <w:rFonts w:hint="eastAsia"/>
          <w:sz w:val="18"/>
          <w:szCs w:val="18"/>
        </w:rPr>
        <w:t>无</w:t>
      </w:r>
    </w:p>
    <w:p w:rsidR="00E22F4C" w:rsidRDefault="00381575">
      <w:pPr>
        <w:pStyle w:val="3"/>
        <w:spacing w:line="280" w:lineRule="exact"/>
        <w:jc w:val="left"/>
        <w:rPr>
          <w:rFonts w:ascii="宋体" w:hAnsi="宋体" w:cs="宋体"/>
          <w:b/>
          <w:bCs/>
        </w:rPr>
      </w:pPr>
      <w:bookmarkStart w:id="498" w:name="_Toc989387"/>
      <w:r>
        <w:rPr>
          <w:rFonts w:ascii="宋体" w:hAnsi="宋体" w:cs="宋体"/>
          <w:b/>
          <w:bCs/>
        </w:rPr>
        <w:t>3、以现金结算的股份支付情况</w:t>
      </w:r>
      <w:bookmarkEnd w:id="498"/>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499" w:name="_Toc989388"/>
      <w:r>
        <w:rPr>
          <w:rFonts w:ascii="宋体" w:hAnsi="宋体" w:cs="宋体"/>
          <w:b/>
          <w:bCs/>
        </w:rPr>
        <w:t>4、股份支付的修改、终止情况</w:t>
      </w:r>
      <w:bookmarkEnd w:id="499"/>
    </w:p>
    <w:p w:rsidR="00E22F4C" w:rsidRDefault="00E22F4C">
      <w:pPr>
        <w:divId w:val="1414477095"/>
        <w:rPr>
          <w:sz w:val="18"/>
          <w:szCs w:val="18"/>
        </w:rPr>
      </w:pPr>
    </w:p>
    <w:p w:rsidR="00E22F4C" w:rsidRDefault="00381575">
      <w:pPr>
        <w:pStyle w:val="3"/>
        <w:spacing w:line="280" w:lineRule="exact"/>
        <w:jc w:val="left"/>
        <w:rPr>
          <w:rFonts w:ascii="宋体" w:hAnsi="宋体" w:cs="宋体"/>
          <w:b/>
          <w:bCs/>
        </w:rPr>
      </w:pPr>
      <w:bookmarkStart w:id="500" w:name="_Toc989389"/>
      <w:r>
        <w:rPr>
          <w:rFonts w:ascii="宋体" w:hAnsi="宋体" w:cs="宋体"/>
          <w:b/>
          <w:bCs/>
        </w:rPr>
        <w:t xml:space="preserve">5、其他 </w:t>
      </w:r>
      <w:bookmarkEnd w:id="500"/>
    </w:p>
    <w:p w:rsidR="00E22F4C" w:rsidRDefault="00E22F4C">
      <w:pPr>
        <w:divId w:val="1377509608"/>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501" w:name="_Toc989390"/>
      <w:r>
        <w:rPr>
          <w:rFonts w:ascii="宋体" w:eastAsia="宋体" w:hAnsi="宋体" w:cs="宋体"/>
          <w:b/>
          <w:bCs/>
          <w:sz w:val="24"/>
          <w:szCs w:val="24"/>
        </w:rPr>
        <w:t>十四、承诺及或有事项</w:t>
      </w:r>
      <w:bookmarkEnd w:id="501"/>
    </w:p>
    <w:p w:rsidR="00E22F4C" w:rsidRDefault="00381575">
      <w:pPr>
        <w:pStyle w:val="3"/>
        <w:spacing w:line="280" w:lineRule="exact"/>
        <w:jc w:val="left"/>
        <w:rPr>
          <w:rFonts w:ascii="宋体" w:hAnsi="宋体" w:cs="宋体"/>
          <w:b/>
          <w:bCs/>
        </w:rPr>
      </w:pPr>
      <w:bookmarkStart w:id="502" w:name="_Toc989391"/>
      <w:r>
        <w:rPr>
          <w:rFonts w:ascii="宋体" w:hAnsi="宋体" w:cs="宋体"/>
          <w:b/>
          <w:bCs/>
        </w:rPr>
        <w:t>1、重要承诺事项</w:t>
      </w:r>
      <w:bookmarkEnd w:id="502"/>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资产负债表日存在的重要承诺</w:t>
      </w:r>
    </w:p>
    <w:p w:rsidR="00E22F4C" w:rsidRDefault="00E22F4C">
      <w:pPr>
        <w:divId w:val="557785772"/>
        <w:rPr>
          <w:sz w:val="18"/>
          <w:szCs w:val="18"/>
        </w:rPr>
      </w:pPr>
    </w:p>
    <w:p w:rsidR="00E22F4C" w:rsidRDefault="00381575">
      <w:pPr>
        <w:pStyle w:val="3"/>
        <w:spacing w:line="280" w:lineRule="exact"/>
        <w:jc w:val="left"/>
        <w:rPr>
          <w:rFonts w:ascii="宋体" w:hAnsi="宋体" w:cs="宋体"/>
          <w:b/>
          <w:bCs/>
        </w:rPr>
      </w:pPr>
      <w:bookmarkStart w:id="503" w:name="_Toc989392"/>
      <w:r>
        <w:rPr>
          <w:rFonts w:ascii="宋体" w:hAnsi="宋体" w:cs="宋体"/>
          <w:b/>
          <w:bCs/>
        </w:rPr>
        <w:t>2、或有事项</w:t>
      </w:r>
      <w:bookmarkEnd w:id="503"/>
    </w:p>
    <w:p w:rsidR="00E22F4C" w:rsidRDefault="00381575">
      <w:pPr>
        <w:keepNext/>
        <w:keepLines/>
        <w:spacing w:before="300" w:after="300" w:line="280" w:lineRule="exact"/>
        <w:outlineLvl w:val="3"/>
        <w:rPr>
          <w:rFonts w:ascii="宋体" w:eastAsia="宋体" w:hAnsi="宋体" w:cs="宋体"/>
          <w:b/>
          <w:bCs/>
          <w:szCs w:val="21"/>
        </w:rPr>
      </w:pPr>
      <w:bookmarkStart w:id="504" w:name="_Toc989393"/>
      <w:r>
        <w:rPr>
          <w:rFonts w:ascii="宋体" w:eastAsia="宋体" w:hAnsi="宋体" w:cs="宋体"/>
          <w:b/>
          <w:bCs/>
          <w:szCs w:val="21"/>
        </w:rPr>
        <w:t>（1） 资产负债表日存在的重要或有事项</w:t>
      </w:r>
      <w:bookmarkEnd w:id="504"/>
    </w:p>
    <w:p w:rsidR="00E22F4C" w:rsidRDefault="00E22F4C">
      <w:pPr>
        <w:divId w:val="832066475"/>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505" w:name="_Toc989394"/>
      <w:r>
        <w:rPr>
          <w:rFonts w:ascii="宋体" w:eastAsia="宋体" w:hAnsi="宋体" w:cs="宋体"/>
          <w:b/>
          <w:bCs/>
          <w:szCs w:val="21"/>
        </w:rPr>
        <w:t>（2） 公司没有需要披露的重要或有事项，也应予以说明</w:t>
      </w:r>
      <w:bookmarkEnd w:id="50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公司不存在需要披露的重要或有事项。</w:t>
      </w:r>
    </w:p>
    <w:p w:rsidR="00E22F4C" w:rsidRDefault="00381575">
      <w:pPr>
        <w:pStyle w:val="3"/>
        <w:spacing w:line="280" w:lineRule="exact"/>
        <w:jc w:val="left"/>
        <w:rPr>
          <w:rFonts w:ascii="宋体" w:hAnsi="宋体" w:cs="宋体"/>
          <w:b/>
          <w:bCs/>
        </w:rPr>
      </w:pPr>
      <w:bookmarkStart w:id="506" w:name="_Toc989395"/>
      <w:r>
        <w:rPr>
          <w:rFonts w:ascii="宋体" w:hAnsi="宋体" w:cs="宋体"/>
          <w:b/>
          <w:bCs/>
        </w:rPr>
        <w:lastRenderedPageBreak/>
        <w:t>3、其他</w:t>
      </w:r>
      <w:bookmarkEnd w:id="506"/>
    </w:p>
    <w:p w:rsidR="00E22F4C" w:rsidRDefault="00E22F4C">
      <w:pPr>
        <w:divId w:val="871041025"/>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507" w:name="_Toc989396"/>
      <w:r>
        <w:rPr>
          <w:rFonts w:ascii="宋体" w:eastAsia="宋体" w:hAnsi="宋体" w:cs="宋体"/>
          <w:b/>
          <w:bCs/>
          <w:sz w:val="24"/>
          <w:szCs w:val="24"/>
        </w:rPr>
        <w:t>十五、资产负债表日后事项</w:t>
      </w:r>
      <w:bookmarkEnd w:id="507"/>
    </w:p>
    <w:p w:rsidR="00E22F4C" w:rsidRDefault="00381575">
      <w:pPr>
        <w:pStyle w:val="3"/>
        <w:spacing w:line="280" w:lineRule="exact"/>
        <w:jc w:val="left"/>
        <w:rPr>
          <w:rFonts w:ascii="宋体" w:hAnsi="宋体" w:cs="宋体"/>
          <w:b/>
          <w:bCs/>
        </w:rPr>
      </w:pPr>
      <w:bookmarkStart w:id="508" w:name="_Toc989397"/>
      <w:r>
        <w:rPr>
          <w:rFonts w:ascii="宋体" w:hAnsi="宋体" w:cs="宋体"/>
          <w:b/>
          <w:bCs/>
        </w:rPr>
        <w:t>1、重要的非调整事项</w:t>
      </w:r>
      <w:bookmarkEnd w:id="50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对财务状况和经营成果的影响数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无法估计影响数的原因</w:t>
            </w:r>
          </w:p>
        </w:tc>
      </w:tr>
    </w:tbl>
    <w:p w:rsidR="00E22F4C" w:rsidRDefault="00381575">
      <w:pPr>
        <w:pStyle w:val="3"/>
        <w:spacing w:line="280" w:lineRule="exact"/>
        <w:jc w:val="left"/>
        <w:rPr>
          <w:rFonts w:ascii="宋体" w:hAnsi="宋体" w:cs="宋体"/>
          <w:b/>
          <w:bCs/>
        </w:rPr>
      </w:pPr>
      <w:bookmarkStart w:id="509" w:name="_Toc989398"/>
      <w:r>
        <w:rPr>
          <w:rFonts w:ascii="宋体" w:hAnsi="宋体" w:cs="宋体"/>
          <w:b/>
          <w:bCs/>
        </w:rPr>
        <w:t>2、利润分配情况</w:t>
      </w:r>
      <w:bookmarkEnd w:id="50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p w:rsidR="00E22F4C" w:rsidRDefault="00381575">
      <w:pPr>
        <w:pStyle w:val="3"/>
        <w:spacing w:line="280" w:lineRule="exact"/>
        <w:jc w:val="left"/>
        <w:rPr>
          <w:rFonts w:ascii="宋体" w:hAnsi="宋体" w:cs="宋体"/>
          <w:b/>
          <w:bCs/>
        </w:rPr>
      </w:pPr>
      <w:bookmarkStart w:id="510" w:name="_Toc989399"/>
      <w:r>
        <w:rPr>
          <w:rFonts w:ascii="宋体" w:hAnsi="宋体" w:cs="宋体"/>
          <w:b/>
          <w:bCs/>
        </w:rPr>
        <w:t>3、销售退回</w:t>
      </w:r>
      <w:bookmarkEnd w:id="510"/>
    </w:p>
    <w:p w:rsidR="00E22F4C" w:rsidRDefault="00E22F4C">
      <w:pPr>
        <w:divId w:val="1057509735"/>
        <w:rPr>
          <w:sz w:val="18"/>
          <w:szCs w:val="18"/>
        </w:rPr>
      </w:pPr>
    </w:p>
    <w:p w:rsidR="00E22F4C" w:rsidRDefault="00381575">
      <w:pPr>
        <w:pStyle w:val="3"/>
        <w:spacing w:line="280" w:lineRule="exact"/>
        <w:jc w:val="left"/>
        <w:rPr>
          <w:rFonts w:ascii="宋体" w:hAnsi="宋体" w:cs="宋体"/>
          <w:b/>
          <w:bCs/>
        </w:rPr>
      </w:pPr>
      <w:bookmarkStart w:id="511" w:name="_Toc989400"/>
      <w:r>
        <w:rPr>
          <w:rFonts w:ascii="宋体" w:hAnsi="宋体" w:cs="宋体"/>
          <w:b/>
          <w:bCs/>
        </w:rPr>
        <w:t>4、其他资产负债表日后事项说明</w:t>
      </w:r>
      <w:bookmarkEnd w:id="511"/>
    </w:p>
    <w:p w:rsidR="00E22F4C" w:rsidRDefault="00E22F4C">
      <w:pPr>
        <w:divId w:val="739981393"/>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512" w:name="_Toc989401"/>
      <w:r>
        <w:rPr>
          <w:rFonts w:ascii="宋体" w:eastAsia="宋体" w:hAnsi="宋体" w:cs="宋体"/>
          <w:b/>
          <w:bCs/>
          <w:sz w:val="24"/>
          <w:szCs w:val="24"/>
        </w:rPr>
        <w:t>十六、其他重要事项</w:t>
      </w:r>
      <w:bookmarkEnd w:id="512"/>
    </w:p>
    <w:p w:rsidR="00E22F4C" w:rsidRDefault="00381575">
      <w:pPr>
        <w:pStyle w:val="3"/>
        <w:spacing w:line="280" w:lineRule="exact"/>
        <w:jc w:val="left"/>
        <w:rPr>
          <w:rFonts w:ascii="宋体" w:hAnsi="宋体" w:cs="宋体"/>
          <w:b/>
          <w:bCs/>
        </w:rPr>
      </w:pPr>
      <w:bookmarkStart w:id="513" w:name="_Toc989402"/>
      <w:r>
        <w:rPr>
          <w:rFonts w:ascii="宋体" w:hAnsi="宋体" w:cs="宋体"/>
          <w:b/>
          <w:bCs/>
        </w:rPr>
        <w:t>1、前期会计差错更正</w:t>
      </w:r>
      <w:bookmarkEnd w:id="513"/>
    </w:p>
    <w:p w:rsidR="00E22F4C" w:rsidRDefault="00381575">
      <w:pPr>
        <w:keepNext/>
        <w:keepLines/>
        <w:spacing w:before="300" w:after="300" w:line="280" w:lineRule="exact"/>
        <w:outlineLvl w:val="3"/>
        <w:rPr>
          <w:rFonts w:ascii="宋体" w:eastAsia="宋体" w:hAnsi="宋体" w:cs="宋体"/>
          <w:b/>
          <w:bCs/>
          <w:szCs w:val="21"/>
        </w:rPr>
      </w:pPr>
      <w:bookmarkStart w:id="514" w:name="_Toc989403"/>
      <w:r>
        <w:rPr>
          <w:rFonts w:ascii="宋体" w:eastAsia="宋体" w:hAnsi="宋体" w:cs="宋体"/>
          <w:b/>
          <w:bCs/>
          <w:szCs w:val="21"/>
        </w:rPr>
        <w:t>（1） 追溯重述法</w:t>
      </w:r>
      <w:bookmarkEnd w:id="51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会计差错更正的内容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处理程序</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受影响的各个比较期间报表项目名称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累积影响数</w:t>
            </w:r>
          </w:p>
        </w:tc>
      </w:tr>
    </w:tbl>
    <w:p w:rsidR="00E22F4C" w:rsidRDefault="00381575">
      <w:pPr>
        <w:keepNext/>
        <w:keepLines/>
        <w:spacing w:before="300" w:after="300" w:line="280" w:lineRule="exact"/>
        <w:outlineLvl w:val="3"/>
        <w:rPr>
          <w:rFonts w:ascii="宋体" w:eastAsia="宋体" w:hAnsi="宋体" w:cs="宋体"/>
          <w:b/>
          <w:bCs/>
          <w:szCs w:val="21"/>
        </w:rPr>
      </w:pPr>
      <w:bookmarkStart w:id="515" w:name="_Toc989404"/>
      <w:r>
        <w:rPr>
          <w:rFonts w:ascii="宋体" w:eastAsia="宋体" w:hAnsi="宋体" w:cs="宋体"/>
          <w:b/>
          <w:bCs/>
          <w:szCs w:val="21"/>
        </w:rPr>
        <w:t>（2） 未来适用法</w:t>
      </w:r>
      <w:bookmarkEnd w:id="515"/>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会计差错更正的内容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批准程序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采用未来适用法的原因</w:t>
            </w:r>
          </w:p>
        </w:tc>
      </w:tr>
    </w:tbl>
    <w:p w:rsidR="00E22F4C" w:rsidRDefault="00381575">
      <w:pPr>
        <w:pStyle w:val="3"/>
        <w:spacing w:line="280" w:lineRule="exact"/>
        <w:jc w:val="left"/>
        <w:rPr>
          <w:rFonts w:ascii="宋体" w:hAnsi="宋体" w:cs="宋体"/>
          <w:b/>
          <w:bCs/>
        </w:rPr>
      </w:pPr>
      <w:bookmarkStart w:id="516" w:name="_Toc989405"/>
      <w:r>
        <w:rPr>
          <w:rFonts w:ascii="宋体" w:hAnsi="宋体" w:cs="宋体"/>
          <w:b/>
          <w:bCs/>
        </w:rPr>
        <w:t>2、债务重组</w:t>
      </w:r>
      <w:bookmarkEnd w:id="516"/>
    </w:p>
    <w:p w:rsidR="00E22F4C" w:rsidRDefault="00E22F4C">
      <w:pPr>
        <w:divId w:val="680086206"/>
        <w:rPr>
          <w:sz w:val="18"/>
          <w:szCs w:val="18"/>
        </w:rPr>
      </w:pPr>
    </w:p>
    <w:p w:rsidR="00E22F4C" w:rsidRDefault="00381575">
      <w:pPr>
        <w:pStyle w:val="3"/>
        <w:spacing w:line="280" w:lineRule="exact"/>
        <w:jc w:val="left"/>
        <w:rPr>
          <w:rFonts w:ascii="宋体" w:hAnsi="宋体" w:cs="宋体"/>
          <w:b/>
          <w:bCs/>
        </w:rPr>
      </w:pPr>
      <w:bookmarkStart w:id="517" w:name="_Toc989406"/>
      <w:r>
        <w:rPr>
          <w:rFonts w:ascii="宋体" w:hAnsi="宋体" w:cs="宋体"/>
          <w:b/>
          <w:bCs/>
        </w:rPr>
        <w:t>3、资产置换</w:t>
      </w:r>
      <w:bookmarkEnd w:id="517"/>
    </w:p>
    <w:p w:rsidR="00E22F4C" w:rsidRDefault="00381575">
      <w:pPr>
        <w:keepNext/>
        <w:keepLines/>
        <w:spacing w:before="300" w:after="300" w:line="280" w:lineRule="exact"/>
        <w:outlineLvl w:val="3"/>
        <w:rPr>
          <w:rFonts w:ascii="宋体" w:eastAsia="宋体" w:hAnsi="宋体" w:cs="宋体"/>
          <w:b/>
          <w:bCs/>
          <w:szCs w:val="21"/>
        </w:rPr>
      </w:pPr>
      <w:bookmarkStart w:id="518" w:name="_Toc989407"/>
      <w:r>
        <w:rPr>
          <w:rFonts w:ascii="宋体" w:eastAsia="宋体" w:hAnsi="宋体" w:cs="宋体"/>
          <w:b/>
          <w:bCs/>
          <w:szCs w:val="21"/>
        </w:rPr>
        <w:t>（1） 非货币性资产交换</w:t>
      </w:r>
      <w:bookmarkEnd w:id="518"/>
    </w:p>
    <w:p w:rsidR="00E22F4C" w:rsidRDefault="00E22F4C">
      <w:pPr>
        <w:divId w:val="664163676"/>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519" w:name="_Toc989408"/>
      <w:r>
        <w:rPr>
          <w:rFonts w:ascii="宋体" w:eastAsia="宋体" w:hAnsi="宋体" w:cs="宋体"/>
          <w:b/>
          <w:bCs/>
          <w:szCs w:val="21"/>
        </w:rPr>
        <w:lastRenderedPageBreak/>
        <w:t>（2） 其他资产置换</w:t>
      </w:r>
      <w:bookmarkEnd w:id="519"/>
    </w:p>
    <w:p w:rsidR="00E22F4C" w:rsidRDefault="00E22F4C">
      <w:pPr>
        <w:divId w:val="1697583946"/>
        <w:rPr>
          <w:sz w:val="18"/>
          <w:szCs w:val="18"/>
        </w:rPr>
      </w:pPr>
    </w:p>
    <w:p w:rsidR="00E22F4C" w:rsidRDefault="00381575">
      <w:pPr>
        <w:pStyle w:val="3"/>
        <w:spacing w:line="280" w:lineRule="exact"/>
        <w:jc w:val="left"/>
        <w:rPr>
          <w:rFonts w:ascii="宋体" w:hAnsi="宋体" w:cs="宋体"/>
          <w:b/>
          <w:bCs/>
        </w:rPr>
      </w:pPr>
      <w:bookmarkStart w:id="520" w:name="_Toc989409"/>
      <w:r>
        <w:rPr>
          <w:rFonts w:ascii="宋体" w:hAnsi="宋体" w:cs="宋体"/>
          <w:b/>
          <w:bCs/>
        </w:rPr>
        <w:t>4、年金计划</w:t>
      </w:r>
      <w:bookmarkEnd w:id="520"/>
    </w:p>
    <w:p w:rsidR="00E22F4C" w:rsidRDefault="00E22F4C">
      <w:pPr>
        <w:divId w:val="1737774311"/>
        <w:rPr>
          <w:sz w:val="18"/>
          <w:szCs w:val="18"/>
        </w:rPr>
      </w:pPr>
    </w:p>
    <w:p w:rsidR="00E22F4C" w:rsidRDefault="00381575">
      <w:pPr>
        <w:pStyle w:val="3"/>
        <w:spacing w:line="280" w:lineRule="exact"/>
        <w:jc w:val="left"/>
        <w:rPr>
          <w:rFonts w:ascii="宋体" w:hAnsi="宋体" w:cs="宋体"/>
          <w:b/>
          <w:bCs/>
        </w:rPr>
      </w:pPr>
      <w:bookmarkStart w:id="521" w:name="_Toc989410"/>
      <w:r>
        <w:rPr>
          <w:rFonts w:ascii="宋体" w:hAnsi="宋体" w:cs="宋体"/>
          <w:b/>
          <w:bCs/>
        </w:rPr>
        <w:t>5、终止经营</w:t>
      </w:r>
      <w:bookmarkEnd w:id="52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利润总额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所得税费用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净利润</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归属于母公司所有者的终止经营利润</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462312607"/>
        <w:rPr>
          <w:sz w:val="18"/>
          <w:szCs w:val="18"/>
        </w:rPr>
      </w:pPr>
    </w:p>
    <w:p w:rsidR="00E22F4C" w:rsidRDefault="00381575">
      <w:pPr>
        <w:pStyle w:val="3"/>
        <w:spacing w:line="280" w:lineRule="exact"/>
        <w:jc w:val="left"/>
        <w:rPr>
          <w:rFonts w:ascii="宋体" w:hAnsi="宋体" w:cs="宋体"/>
          <w:b/>
          <w:bCs/>
        </w:rPr>
      </w:pPr>
      <w:bookmarkStart w:id="522" w:name="_Toc989411"/>
      <w:r>
        <w:rPr>
          <w:rFonts w:ascii="宋体" w:hAnsi="宋体" w:cs="宋体"/>
          <w:b/>
          <w:bCs/>
        </w:rPr>
        <w:t>6、分部信息</w:t>
      </w:r>
      <w:bookmarkEnd w:id="522"/>
    </w:p>
    <w:p w:rsidR="00E22F4C" w:rsidRDefault="00381575">
      <w:pPr>
        <w:keepNext/>
        <w:keepLines/>
        <w:spacing w:before="300" w:after="300" w:line="280" w:lineRule="exact"/>
        <w:outlineLvl w:val="3"/>
        <w:rPr>
          <w:rFonts w:ascii="宋体" w:eastAsia="宋体" w:hAnsi="宋体" w:cs="宋体"/>
          <w:b/>
          <w:bCs/>
          <w:szCs w:val="21"/>
        </w:rPr>
      </w:pPr>
      <w:bookmarkStart w:id="523" w:name="_Toc989412"/>
      <w:r>
        <w:rPr>
          <w:rFonts w:ascii="宋体" w:eastAsia="宋体" w:hAnsi="宋体" w:cs="宋体"/>
          <w:b/>
          <w:bCs/>
          <w:szCs w:val="21"/>
        </w:rPr>
        <w:t>（1） 报告分部的确定依据与会计政策</w:t>
      </w:r>
      <w:bookmarkEnd w:id="523"/>
    </w:p>
    <w:p w:rsidR="00E22F4C" w:rsidRDefault="00E22F4C">
      <w:pPr>
        <w:divId w:val="1338848069"/>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524" w:name="_Toc989413"/>
      <w:r>
        <w:rPr>
          <w:rFonts w:ascii="宋体" w:eastAsia="宋体" w:hAnsi="宋体" w:cs="宋体"/>
          <w:b/>
          <w:bCs/>
          <w:szCs w:val="21"/>
        </w:rPr>
        <w:t>（2） 报告分部的财务信息</w:t>
      </w:r>
      <w:bookmarkEnd w:id="52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分部间抵销</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keepNext/>
        <w:keepLines/>
        <w:spacing w:before="300" w:after="300" w:line="280" w:lineRule="exact"/>
        <w:outlineLvl w:val="3"/>
        <w:rPr>
          <w:rFonts w:ascii="宋体" w:eastAsia="宋体" w:hAnsi="宋体" w:cs="宋体"/>
          <w:b/>
          <w:bCs/>
          <w:szCs w:val="21"/>
        </w:rPr>
      </w:pPr>
      <w:bookmarkStart w:id="525" w:name="_Toc989414"/>
      <w:r>
        <w:rPr>
          <w:rFonts w:ascii="宋体" w:eastAsia="宋体" w:hAnsi="宋体" w:cs="宋体"/>
          <w:b/>
          <w:bCs/>
          <w:szCs w:val="21"/>
        </w:rPr>
        <w:t>（3） 公司无报告分部的，或者不能披露各报告分部的资产总额和负债总额的，应说明原因</w:t>
      </w:r>
      <w:bookmarkEnd w:id="525"/>
    </w:p>
    <w:p w:rsidR="00E22F4C" w:rsidRDefault="00E22F4C">
      <w:pPr>
        <w:divId w:val="1843279540"/>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526" w:name="_Toc989415"/>
      <w:r>
        <w:rPr>
          <w:rFonts w:ascii="宋体" w:eastAsia="宋体" w:hAnsi="宋体" w:cs="宋体"/>
          <w:b/>
          <w:bCs/>
          <w:szCs w:val="21"/>
        </w:rPr>
        <w:t>（4） 其他说明</w:t>
      </w:r>
      <w:bookmarkEnd w:id="526"/>
    </w:p>
    <w:p w:rsidR="00E22F4C" w:rsidRDefault="00E22F4C">
      <w:pPr>
        <w:divId w:val="514655497"/>
        <w:rPr>
          <w:sz w:val="18"/>
          <w:szCs w:val="18"/>
        </w:rPr>
      </w:pPr>
    </w:p>
    <w:p w:rsidR="00E22F4C" w:rsidRDefault="00381575">
      <w:pPr>
        <w:pStyle w:val="3"/>
        <w:spacing w:line="280" w:lineRule="exact"/>
        <w:jc w:val="left"/>
        <w:rPr>
          <w:rFonts w:ascii="宋体" w:hAnsi="宋体" w:cs="宋体"/>
          <w:b/>
          <w:bCs/>
        </w:rPr>
      </w:pPr>
      <w:bookmarkStart w:id="527" w:name="_Toc989416"/>
      <w:r>
        <w:rPr>
          <w:rFonts w:ascii="宋体" w:hAnsi="宋体" w:cs="宋体"/>
          <w:b/>
          <w:bCs/>
        </w:rPr>
        <w:t>7、其他对投资者决策有影响的重要交易和事项</w:t>
      </w:r>
      <w:bookmarkEnd w:id="527"/>
    </w:p>
    <w:p w:rsidR="00E22F4C" w:rsidRDefault="00E22F4C">
      <w:pPr>
        <w:divId w:val="1967925097"/>
        <w:rPr>
          <w:sz w:val="18"/>
          <w:szCs w:val="18"/>
        </w:rPr>
      </w:pPr>
    </w:p>
    <w:p w:rsidR="00E22F4C" w:rsidRDefault="00381575">
      <w:pPr>
        <w:pStyle w:val="3"/>
        <w:spacing w:line="280" w:lineRule="exact"/>
        <w:jc w:val="left"/>
        <w:rPr>
          <w:rFonts w:ascii="宋体" w:hAnsi="宋体" w:cs="宋体"/>
          <w:b/>
          <w:bCs/>
        </w:rPr>
      </w:pPr>
      <w:bookmarkStart w:id="528" w:name="_Toc989417"/>
      <w:r>
        <w:rPr>
          <w:rFonts w:ascii="宋体" w:hAnsi="宋体" w:cs="宋体"/>
          <w:b/>
          <w:bCs/>
        </w:rPr>
        <w:t>8、其他</w:t>
      </w:r>
      <w:bookmarkEnd w:id="528"/>
    </w:p>
    <w:p w:rsidR="00E22F4C" w:rsidRDefault="00E22F4C">
      <w:pPr>
        <w:divId w:val="1028602533"/>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529" w:name="_Toc989418"/>
      <w:r>
        <w:rPr>
          <w:rFonts w:ascii="宋体" w:eastAsia="宋体" w:hAnsi="宋体" w:cs="宋体"/>
          <w:b/>
          <w:bCs/>
          <w:sz w:val="24"/>
          <w:szCs w:val="24"/>
        </w:rPr>
        <w:lastRenderedPageBreak/>
        <w:t>十七、母公司财务报表主要项目注释</w:t>
      </w:r>
      <w:bookmarkEnd w:id="529"/>
    </w:p>
    <w:p w:rsidR="00E22F4C" w:rsidRDefault="00381575">
      <w:pPr>
        <w:pStyle w:val="3"/>
        <w:spacing w:line="280" w:lineRule="exact"/>
        <w:jc w:val="left"/>
        <w:rPr>
          <w:rFonts w:ascii="宋体" w:hAnsi="宋体" w:cs="宋体"/>
          <w:b/>
          <w:bCs/>
        </w:rPr>
      </w:pPr>
      <w:bookmarkStart w:id="530" w:name="_Toc989419"/>
      <w:r>
        <w:rPr>
          <w:rFonts w:ascii="宋体" w:hAnsi="宋体" w:cs="宋体"/>
          <w:b/>
          <w:bCs/>
        </w:rPr>
        <w:t>1、应收账款</w:t>
      </w:r>
      <w:bookmarkEnd w:id="530"/>
    </w:p>
    <w:p w:rsidR="00E22F4C" w:rsidRDefault="00381575">
      <w:pPr>
        <w:keepNext/>
        <w:keepLines/>
        <w:spacing w:before="300" w:after="300" w:line="280" w:lineRule="exact"/>
        <w:outlineLvl w:val="3"/>
        <w:rPr>
          <w:rFonts w:ascii="宋体" w:eastAsia="宋体" w:hAnsi="宋体" w:cs="宋体"/>
          <w:b/>
          <w:bCs/>
          <w:szCs w:val="21"/>
        </w:rPr>
      </w:pPr>
      <w:bookmarkStart w:id="531" w:name="_Toc989420"/>
      <w:r>
        <w:rPr>
          <w:rFonts w:ascii="宋体" w:eastAsia="宋体" w:hAnsi="宋体" w:cs="宋体"/>
          <w:b/>
          <w:bCs/>
          <w:szCs w:val="21"/>
        </w:rPr>
        <w:t>（1） 应收账款分类披露</w:t>
      </w:r>
      <w:bookmarkEnd w:id="53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876"/>
        <w:gridCol w:w="877"/>
        <w:gridCol w:w="876"/>
        <w:gridCol w:w="877"/>
        <w:gridCol w:w="876"/>
        <w:gridCol w:w="876"/>
        <w:gridCol w:w="877"/>
        <w:gridCol w:w="876"/>
        <w:gridCol w:w="877"/>
        <w:gridCol w:w="876"/>
      </w:tblGrid>
      <w:tr w:rsidR="00E22F4C">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242,005,251.23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3,481,771.40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238,523,479.83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195,852,748.69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2,595,575.19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193,257,173.50</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其中：组合1：应收直销客户</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220,862,863.40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91.26%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3,089,308.53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217,773,554.87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149,729,930.06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76.45%</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2,100,936.90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147,628,993.16</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组合2：应收经销客户</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19,617,591.23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8.11%</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392,462.87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19,225,128.36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24,724,916.57</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12.62%</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494,638.29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24,230,278.28</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组合3：应收合并范围内关联方客户</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1,524,796.60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0.63%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1,524,796.60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21,397,902.06</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10.93%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21,397,902.06</w:t>
            </w:r>
          </w:p>
        </w:tc>
      </w:tr>
      <w:tr w:rsidR="00E22F4C">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242,005,251.23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3,481,771.40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238,523,479.83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195,852,748.69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2,595,575.19</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1.33%</w:t>
            </w:r>
          </w:p>
        </w:tc>
        <w:tc>
          <w:tcPr>
            <w:tcW w:w="87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193,257,173.50</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按组合计提坏账准备：2,711,930.59</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220,439,776.06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3,010,710.39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1-2年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377,641.58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41,894.08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11.09%</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2-3年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945.95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46.14%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3-4年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43,395.76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35,758.11</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82.40%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4-5年</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5年以上</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220,862,863.40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3,089,308.53</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rsidR="00E22F4C" w:rsidRDefault="00E22F4C">
      <w:pPr>
        <w:divId w:val="9534380"/>
        <w:rPr>
          <w:sz w:val="18"/>
          <w:szCs w:val="18"/>
        </w:rPr>
      </w:pPr>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按组合计提坏账准备：397,153.70</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lastRenderedPageBreak/>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19,617,591.23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392,462.87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19,617,591.23</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392,462.87</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rsidR="00E22F4C" w:rsidRDefault="00E22F4C">
      <w:pPr>
        <w:divId w:val="1719738826"/>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如是按照预期信用损失一般模型计提应收账款坏账准备，请参照其他应收款的披露方式披露坏账准备的相关信息：</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按账龄披露</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241,582,163.89</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377,641.58</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2至3年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2,050.00</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43,395.76</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3至4年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43,395.76</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242,005,251.23</w:t>
            </w:r>
          </w:p>
        </w:tc>
      </w:tr>
    </w:tbl>
    <w:p w:rsidR="00E22F4C" w:rsidRDefault="00381575">
      <w:pPr>
        <w:keepNext/>
        <w:keepLines/>
        <w:spacing w:before="300" w:after="300" w:line="280" w:lineRule="exact"/>
        <w:outlineLvl w:val="3"/>
        <w:rPr>
          <w:rFonts w:ascii="宋体" w:eastAsia="宋体" w:hAnsi="宋体" w:cs="宋体"/>
          <w:b/>
          <w:bCs/>
          <w:szCs w:val="21"/>
        </w:rPr>
      </w:pPr>
      <w:bookmarkStart w:id="532" w:name="_Toc989421"/>
      <w:r>
        <w:rPr>
          <w:rFonts w:ascii="宋体" w:eastAsia="宋体" w:hAnsi="宋体" w:cs="宋体"/>
          <w:b/>
          <w:bCs/>
          <w:szCs w:val="21"/>
        </w:rPr>
        <w:t>（2） 本期计提、收回或转回的坏账准备情况</w:t>
      </w:r>
      <w:bookmarkEnd w:id="532"/>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本期计提坏账准备情况：</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坏账准备</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2,595,575.19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1,181,408.35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295,212.14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3,481,771.40</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2,595,575.19</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1,181,408.35</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295,212.14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3,481,771.40</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rsidR="00E22F4C" w:rsidRDefault="00E22F4C">
      <w:pPr>
        <w:divId w:val="582030730"/>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533" w:name="_Toc989422"/>
      <w:r>
        <w:rPr>
          <w:rFonts w:ascii="宋体" w:eastAsia="宋体" w:hAnsi="宋体" w:cs="宋体"/>
          <w:b/>
          <w:bCs/>
          <w:szCs w:val="21"/>
        </w:rPr>
        <w:t>（3） 本期实际核销的应收账款情况</w:t>
      </w:r>
      <w:bookmarkEnd w:id="53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客户款</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295,212.14</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其中重要的应收账款核销情况：</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应收账款核销说明：</w:t>
      </w:r>
    </w:p>
    <w:p w:rsidR="00E22F4C" w:rsidRDefault="00E22F4C">
      <w:pPr>
        <w:divId w:val="137184459"/>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534" w:name="_Toc989423"/>
      <w:r>
        <w:rPr>
          <w:rFonts w:ascii="宋体" w:eastAsia="宋体" w:hAnsi="宋体" w:cs="宋体"/>
          <w:b/>
          <w:bCs/>
          <w:szCs w:val="21"/>
        </w:rPr>
        <w:lastRenderedPageBreak/>
        <w:t>（4） 按欠款方归集的期末余额前五名的应收账款情况</w:t>
      </w:r>
      <w:bookmarkEnd w:id="53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占应收账款期末余额合计数的比例</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23,874,800.00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326,075.95</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18,099,405.10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247,197.07</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17,656,698.78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241,150.70</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15,354,857.08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6.34%</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307,184.06</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15,196,757.20</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6.27%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207,553.44</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90,182,518.16</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37.26%</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bl>
    <w:p w:rsidR="00E22F4C" w:rsidRDefault="00381575">
      <w:pPr>
        <w:keepNext/>
        <w:keepLines/>
        <w:spacing w:before="300" w:after="300" w:line="280" w:lineRule="exact"/>
        <w:outlineLvl w:val="3"/>
        <w:rPr>
          <w:rFonts w:ascii="宋体" w:eastAsia="宋体" w:hAnsi="宋体" w:cs="宋体"/>
          <w:b/>
          <w:bCs/>
          <w:szCs w:val="21"/>
        </w:rPr>
      </w:pPr>
      <w:bookmarkStart w:id="535" w:name="_Toc989424"/>
      <w:r>
        <w:rPr>
          <w:rFonts w:ascii="宋体" w:eastAsia="宋体" w:hAnsi="宋体" w:cs="宋体"/>
          <w:b/>
          <w:bCs/>
          <w:szCs w:val="21"/>
        </w:rPr>
        <w:t>（5） 转移应收账款且继续涉入形成的资产、负债金额</w:t>
      </w:r>
      <w:bookmarkEnd w:id="535"/>
    </w:p>
    <w:p w:rsidR="00E22F4C" w:rsidRDefault="00E22F4C">
      <w:pPr>
        <w:divId w:val="356202257"/>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471022051"/>
        <w:rPr>
          <w:sz w:val="18"/>
          <w:szCs w:val="18"/>
        </w:rPr>
      </w:pPr>
    </w:p>
    <w:p w:rsidR="00E22F4C" w:rsidRDefault="00381575">
      <w:pPr>
        <w:keepNext/>
        <w:keepLines/>
        <w:spacing w:before="300" w:after="300" w:line="280" w:lineRule="exact"/>
        <w:outlineLvl w:val="3"/>
        <w:rPr>
          <w:rFonts w:ascii="宋体" w:eastAsia="宋体" w:hAnsi="宋体" w:cs="宋体"/>
          <w:b/>
          <w:bCs/>
          <w:szCs w:val="21"/>
        </w:rPr>
      </w:pPr>
      <w:bookmarkStart w:id="536" w:name="_Toc989425"/>
      <w:r>
        <w:rPr>
          <w:rFonts w:ascii="宋体" w:eastAsia="宋体" w:hAnsi="宋体" w:cs="宋体"/>
          <w:b/>
          <w:bCs/>
          <w:szCs w:val="21"/>
        </w:rPr>
        <w:t>（6） 因金融资产转移而终止确认的应收账款</w:t>
      </w:r>
      <w:bookmarkEnd w:id="536"/>
    </w:p>
    <w:p w:rsidR="00E22F4C" w:rsidRDefault="00E22F4C">
      <w:pPr>
        <w:divId w:val="1901939761"/>
        <w:rPr>
          <w:sz w:val="18"/>
          <w:szCs w:val="18"/>
        </w:rPr>
      </w:pPr>
    </w:p>
    <w:p w:rsidR="00E22F4C" w:rsidRDefault="00381575">
      <w:pPr>
        <w:pStyle w:val="3"/>
        <w:spacing w:line="280" w:lineRule="exact"/>
        <w:jc w:val="left"/>
        <w:rPr>
          <w:rFonts w:ascii="宋体" w:hAnsi="宋体" w:cs="宋体"/>
          <w:b/>
          <w:bCs/>
        </w:rPr>
      </w:pPr>
      <w:bookmarkStart w:id="537" w:name="_Toc989426"/>
      <w:r>
        <w:rPr>
          <w:rFonts w:ascii="宋体" w:hAnsi="宋体" w:cs="宋体"/>
          <w:b/>
          <w:bCs/>
        </w:rPr>
        <w:t>2、其他应收款</w:t>
      </w:r>
      <w:bookmarkEnd w:id="53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82,561,243.77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71,781,082.27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82,561,243.77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71,781,082.27</w:t>
            </w:r>
          </w:p>
        </w:tc>
      </w:tr>
    </w:tbl>
    <w:p w:rsidR="00E22F4C" w:rsidRDefault="00381575">
      <w:pPr>
        <w:keepNext/>
        <w:keepLines/>
        <w:spacing w:before="300" w:after="300" w:line="280" w:lineRule="exact"/>
        <w:outlineLvl w:val="3"/>
        <w:rPr>
          <w:rFonts w:ascii="宋体" w:eastAsia="宋体" w:hAnsi="宋体" w:cs="宋体"/>
          <w:b/>
          <w:bCs/>
          <w:sz w:val="18"/>
          <w:szCs w:val="18"/>
        </w:rPr>
      </w:pPr>
      <w:bookmarkStart w:id="538" w:name="_Toc989427"/>
      <w:r>
        <w:rPr>
          <w:rFonts w:ascii="宋体" w:eastAsia="宋体" w:hAnsi="宋体" w:cs="宋体"/>
          <w:b/>
          <w:bCs/>
          <w:sz w:val="18"/>
          <w:szCs w:val="18"/>
        </w:rPr>
        <w:t>（1） 应收利息</w:t>
      </w:r>
      <w:bookmarkEnd w:id="538"/>
    </w:p>
    <w:p w:rsidR="00E22F4C" w:rsidRDefault="00381575">
      <w:pPr>
        <w:keepNext/>
        <w:keepLines/>
        <w:spacing w:before="300" w:after="300" w:line="280" w:lineRule="exact"/>
        <w:outlineLvl w:val="4"/>
        <w:rPr>
          <w:rFonts w:ascii="宋体" w:eastAsia="宋体" w:hAnsi="宋体" w:cs="宋体"/>
          <w:b/>
          <w:bCs/>
          <w:sz w:val="18"/>
          <w:szCs w:val="18"/>
        </w:rPr>
      </w:pPr>
      <w:bookmarkStart w:id="539" w:name="_Toc989428"/>
      <w:r>
        <w:rPr>
          <w:rFonts w:ascii="宋体" w:eastAsia="宋体" w:hAnsi="宋体" w:cs="宋体"/>
          <w:b/>
          <w:bCs/>
          <w:sz w:val="18"/>
          <w:szCs w:val="18"/>
        </w:rPr>
        <w:t>1） 应收利息分类</w:t>
      </w:r>
      <w:bookmarkEnd w:id="53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keepNext/>
        <w:keepLines/>
        <w:spacing w:before="300" w:after="300" w:line="280" w:lineRule="exact"/>
        <w:outlineLvl w:val="4"/>
        <w:rPr>
          <w:rFonts w:ascii="宋体" w:eastAsia="宋体" w:hAnsi="宋体" w:cs="宋体"/>
          <w:b/>
          <w:bCs/>
          <w:sz w:val="18"/>
          <w:szCs w:val="18"/>
        </w:rPr>
      </w:pPr>
      <w:bookmarkStart w:id="540" w:name="_Toc989429"/>
      <w:r>
        <w:rPr>
          <w:rFonts w:ascii="宋体" w:eastAsia="宋体" w:hAnsi="宋体" w:cs="宋体"/>
          <w:b/>
          <w:bCs/>
          <w:sz w:val="18"/>
          <w:szCs w:val="18"/>
        </w:rPr>
        <w:t>2） 重要逾期利息</w:t>
      </w:r>
      <w:bookmarkEnd w:id="54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借款单位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逾期时间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逾期原因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是否发生减值及其判断依据</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388602756"/>
        <w:rPr>
          <w:sz w:val="18"/>
          <w:szCs w:val="18"/>
        </w:rPr>
      </w:pPr>
    </w:p>
    <w:p w:rsidR="00E22F4C" w:rsidRDefault="00381575">
      <w:pPr>
        <w:keepNext/>
        <w:keepLines/>
        <w:spacing w:before="300" w:after="300" w:line="280" w:lineRule="exact"/>
        <w:outlineLvl w:val="4"/>
        <w:rPr>
          <w:rFonts w:ascii="宋体" w:eastAsia="宋体" w:hAnsi="宋体" w:cs="宋体"/>
          <w:b/>
          <w:bCs/>
          <w:sz w:val="18"/>
          <w:szCs w:val="18"/>
        </w:rPr>
      </w:pPr>
      <w:bookmarkStart w:id="541" w:name="_Toc989430"/>
      <w:r>
        <w:rPr>
          <w:rFonts w:ascii="宋体" w:eastAsia="宋体" w:hAnsi="宋体" w:cs="宋体"/>
          <w:b/>
          <w:bCs/>
          <w:sz w:val="18"/>
          <w:szCs w:val="18"/>
        </w:rPr>
        <w:t>3） 坏账准备计提情况</w:t>
      </w:r>
      <w:bookmarkEnd w:id="541"/>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 w:val="18"/>
          <w:szCs w:val="18"/>
        </w:rPr>
      </w:pPr>
      <w:bookmarkStart w:id="542" w:name="_Toc989431"/>
      <w:r>
        <w:rPr>
          <w:rFonts w:ascii="宋体" w:eastAsia="宋体" w:hAnsi="宋体" w:cs="宋体"/>
          <w:b/>
          <w:bCs/>
          <w:sz w:val="18"/>
          <w:szCs w:val="18"/>
        </w:rPr>
        <w:lastRenderedPageBreak/>
        <w:t>（2） 应收股利</w:t>
      </w:r>
      <w:bookmarkEnd w:id="542"/>
    </w:p>
    <w:p w:rsidR="00E22F4C" w:rsidRDefault="00381575">
      <w:pPr>
        <w:keepNext/>
        <w:keepLines/>
        <w:spacing w:before="300" w:after="300" w:line="280" w:lineRule="exact"/>
        <w:outlineLvl w:val="4"/>
        <w:rPr>
          <w:rFonts w:ascii="宋体" w:eastAsia="宋体" w:hAnsi="宋体" w:cs="宋体"/>
          <w:b/>
          <w:bCs/>
          <w:sz w:val="18"/>
          <w:szCs w:val="18"/>
        </w:rPr>
      </w:pPr>
      <w:bookmarkStart w:id="543" w:name="_Toc989432"/>
      <w:r>
        <w:rPr>
          <w:rFonts w:ascii="宋体" w:eastAsia="宋体" w:hAnsi="宋体" w:cs="宋体"/>
          <w:b/>
          <w:bCs/>
          <w:sz w:val="18"/>
          <w:szCs w:val="18"/>
        </w:rPr>
        <w:t>1） 应收股利分类</w:t>
      </w:r>
      <w:bookmarkEnd w:id="543"/>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项目(或被投资单位)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E22F4C" w:rsidRDefault="00381575">
      <w:pPr>
        <w:keepNext/>
        <w:keepLines/>
        <w:spacing w:before="300" w:after="300" w:line="280" w:lineRule="exact"/>
        <w:outlineLvl w:val="4"/>
        <w:rPr>
          <w:rFonts w:ascii="宋体" w:eastAsia="宋体" w:hAnsi="宋体" w:cs="宋体"/>
          <w:b/>
          <w:bCs/>
          <w:sz w:val="18"/>
          <w:szCs w:val="18"/>
        </w:rPr>
      </w:pPr>
      <w:bookmarkStart w:id="544" w:name="_Toc989433"/>
      <w:r>
        <w:rPr>
          <w:rFonts w:ascii="宋体" w:eastAsia="宋体" w:hAnsi="宋体" w:cs="宋体"/>
          <w:b/>
          <w:bCs/>
          <w:sz w:val="18"/>
          <w:szCs w:val="18"/>
        </w:rPr>
        <w:t>2） 重要的账龄超过1年的应收股利</w:t>
      </w:r>
      <w:bookmarkEnd w:id="544"/>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项目(或被投资单位)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未收回的原因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是否发生减值及其判断依据</w:t>
            </w:r>
          </w:p>
        </w:tc>
      </w:tr>
    </w:tbl>
    <w:p w:rsidR="00E22F4C" w:rsidRDefault="00381575">
      <w:pPr>
        <w:keepNext/>
        <w:keepLines/>
        <w:spacing w:before="300" w:after="300" w:line="280" w:lineRule="exact"/>
        <w:outlineLvl w:val="4"/>
        <w:rPr>
          <w:rFonts w:ascii="宋体" w:eastAsia="宋体" w:hAnsi="宋体" w:cs="宋体"/>
          <w:b/>
          <w:bCs/>
          <w:sz w:val="18"/>
          <w:szCs w:val="18"/>
        </w:rPr>
      </w:pPr>
      <w:bookmarkStart w:id="545" w:name="_Toc989434"/>
      <w:r>
        <w:rPr>
          <w:rFonts w:ascii="宋体" w:eastAsia="宋体" w:hAnsi="宋体" w:cs="宋体"/>
          <w:b/>
          <w:bCs/>
          <w:sz w:val="18"/>
          <w:szCs w:val="18"/>
        </w:rPr>
        <w:t>3） 坏账准备计提情况</w:t>
      </w:r>
      <w:bookmarkEnd w:id="545"/>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897930306"/>
        <w:rPr>
          <w:sz w:val="18"/>
          <w:szCs w:val="18"/>
        </w:rPr>
      </w:pPr>
    </w:p>
    <w:p w:rsidR="00E22F4C" w:rsidRDefault="00381575">
      <w:pPr>
        <w:keepNext/>
        <w:keepLines/>
        <w:spacing w:before="300" w:after="300" w:line="280" w:lineRule="exact"/>
        <w:outlineLvl w:val="3"/>
        <w:rPr>
          <w:rFonts w:ascii="宋体" w:eastAsia="宋体" w:hAnsi="宋体" w:cs="宋体"/>
          <w:b/>
          <w:bCs/>
          <w:sz w:val="18"/>
          <w:szCs w:val="18"/>
        </w:rPr>
      </w:pPr>
      <w:bookmarkStart w:id="546" w:name="_Toc989435"/>
      <w:r>
        <w:rPr>
          <w:rFonts w:ascii="宋体" w:eastAsia="宋体" w:hAnsi="宋体" w:cs="宋体"/>
          <w:b/>
          <w:bCs/>
          <w:sz w:val="18"/>
          <w:szCs w:val="18"/>
        </w:rPr>
        <w:t>（3） 其他应收款</w:t>
      </w:r>
      <w:bookmarkEnd w:id="546"/>
    </w:p>
    <w:p w:rsidR="00E22F4C" w:rsidRDefault="00381575">
      <w:pPr>
        <w:keepNext/>
        <w:keepLines/>
        <w:spacing w:before="300" w:after="300" w:line="280" w:lineRule="exact"/>
        <w:outlineLvl w:val="4"/>
        <w:rPr>
          <w:rFonts w:ascii="宋体" w:eastAsia="宋体" w:hAnsi="宋体" w:cs="宋体"/>
          <w:b/>
          <w:bCs/>
          <w:sz w:val="18"/>
          <w:szCs w:val="18"/>
        </w:rPr>
      </w:pPr>
      <w:bookmarkStart w:id="547" w:name="_Toc989436"/>
      <w:r>
        <w:rPr>
          <w:rFonts w:ascii="宋体" w:eastAsia="宋体" w:hAnsi="宋体" w:cs="宋体"/>
          <w:b/>
          <w:bCs/>
          <w:sz w:val="18"/>
          <w:szCs w:val="18"/>
        </w:rPr>
        <w:t>1） 其他应收款按款项性质分类情况</w:t>
      </w:r>
      <w:bookmarkEnd w:id="54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期初账面余额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81,897,993.24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71,112,163.15</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社保类</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223,011.06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241,226.91</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员工借款</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405,945.16</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388,759.08</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公积金</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82,254.87</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76,428.87</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82,609,204.33</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71,818,578.01</w:t>
            </w:r>
          </w:p>
        </w:tc>
      </w:tr>
    </w:tbl>
    <w:p w:rsidR="00E22F4C" w:rsidRDefault="00381575">
      <w:pPr>
        <w:keepNext/>
        <w:keepLines/>
        <w:spacing w:before="300" w:after="300" w:line="280" w:lineRule="exact"/>
        <w:outlineLvl w:val="4"/>
        <w:rPr>
          <w:rFonts w:ascii="宋体" w:eastAsia="宋体" w:hAnsi="宋体" w:cs="宋体"/>
          <w:b/>
          <w:bCs/>
          <w:sz w:val="18"/>
          <w:szCs w:val="18"/>
        </w:rPr>
      </w:pPr>
      <w:bookmarkStart w:id="548" w:name="_Toc989437"/>
      <w:r>
        <w:rPr>
          <w:rFonts w:ascii="宋体" w:eastAsia="宋体" w:hAnsi="宋体" w:cs="宋体"/>
          <w:b/>
          <w:bCs/>
          <w:sz w:val="18"/>
          <w:szCs w:val="18"/>
        </w:rPr>
        <w:t>2） 坏账准备计提情况</w:t>
      </w:r>
      <w:bookmarkEnd w:id="548"/>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2022年1月1日余额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37,495.74</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37,495.74</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10,464.82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10,464.82</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2022年12月31日余额</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47,960.56</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47,960.56</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按账龄披露</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lastRenderedPageBreak/>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47,963,211.09</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34,645,993.24</w:t>
            </w:r>
          </w:p>
        </w:tc>
      </w:tr>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82,609,204.33</w:t>
            </w:r>
          </w:p>
        </w:tc>
      </w:tr>
    </w:tbl>
    <w:p w:rsidR="00E22F4C" w:rsidRDefault="00381575">
      <w:pPr>
        <w:keepNext/>
        <w:keepLines/>
        <w:spacing w:before="300" w:after="300" w:line="280" w:lineRule="exact"/>
        <w:outlineLvl w:val="4"/>
        <w:rPr>
          <w:rFonts w:ascii="宋体" w:eastAsia="宋体" w:hAnsi="宋体" w:cs="宋体"/>
          <w:b/>
          <w:bCs/>
          <w:sz w:val="18"/>
          <w:szCs w:val="18"/>
        </w:rPr>
      </w:pPr>
      <w:bookmarkStart w:id="549" w:name="_Toc989438"/>
      <w:r>
        <w:rPr>
          <w:rFonts w:ascii="宋体" w:eastAsia="宋体" w:hAnsi="宋体" w:cs="宋体"/>
          <w:b/>
          <w:bCs/>
          <w:sz w:val="18"/>
          <w:szCs w:val="18"/>
        </w:rPr>
        <w:t>3） 本期计提、收回或转回的坏账准备情况</w:t>
      </w:r>
      <w:bookmarkEnd w:id="549"/>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本期计提坏账准备情况：</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组合计提的坏账准备</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37,495.74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10,464.82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47,960.56</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37,495.74</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10,464.82</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47,960.56</w:t>
            </w:r>
          </w:p>
        </w:tc>
      </w:tr>
    </w:tbl>
    <w:p w:rsidR="00E22F4C" w:rsidRDefault="00E22F4C">
      <w:pPr>
        <w:divId w:val="1316448505"/>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其中本期坏账准备转回或收回金额重要的：</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转回或收回金额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rsidR="00E22F4C" w:rsidRDefault="00E22F4C">
      <w:pPr>
        <w:divId w:val="1796484264"/>
        <w:rPr>
          <w:sz w:val="18"/>
          <w:szCs w:val="18"/>
        </w:rPr>
      </w:pPr>
    </w:p>
    <w:p w:rsidR="00E22F4C" w:rsidRDefault="00381575">
      <w:pPr>
        <w:keepNext/>
        <w:keepLines/>
        <w:spacing w:before="300" w:after="300" w:line="280" w:lineRule="exact"/>
        <w:outlineLvl w:val="4"/>
        <w:rPr>
          <w:rFonts w:ascii="宋体" w:eastAsia="宋体" w:hAnsi="宋体" w:cs="宋体"/>
          <w:b/>
          <w:bCs/>
          <w:sz w:val="18"/>
          <w:szCs w:val="18"/>
        </w:rPr>
      </w:pPr>
      <w:bookmarkStart w:id="550" w:name="_Toc989439"/>
      <w:r>
        <w:rPr>
          <w:rFonts w:ascii="宋体" w:eastAsia="宋体" w:hAnsi="宋体" w:cs="宋体"/>
          <w:b/>
          <w:bCs/>
          <w:sz w:val="18"/>
          <w:szCs w:val="18"/>
        </w:rPr>
        <w:t>4） 本期实际核销的其他应收款情况</w:t>
      </w:r>
      <w:bookmarkEnd w:id="55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E22F4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其中重要的其他应收款核销情况：</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其他应收款性质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其他应收款核销说明：</w:t>
      </w:r>
    </w:p>
    <w:p w:rsidR="00E22F4C" w:rsidRDefault="00E22F4C">
      <w:pPr>
        <w:divId w:val="581722729"/>
        <w:rPr>
          <w:sz w:val="18"/>
          <w:szCs w:val="18"/>
        </w:rPr>
      </w:pPr>
    </w:p>
    <w:p w:rsidR="00E22F4C" w:rsidRDefault="00381575">
      <w:pPr>
        <w:keepNext/>
        <w:keepLines/>
        <w:spacing w:before="300" w:after="300" w:line="280" w:lineRule="exact"/>
        <w:outlineLvl w:val="4"/>
        <w:rPr>
          <w:rFonts w:ascii="宋体" w:eastAsia="宋体" w:hAnsi="宋体" w:cs="宋体"/>
          <w:b/>
          <w:bCs/>
          <w:sz w:val="18"/>
          <w:szCs w:val="18"/>
        </w:rPr>
      </w:pPr>
      <w:bookmarkStart w:id="551" w:name="_Toc989440"/>
      <w:r>
        <w:rPr>
          <w:rFonts w:ascii="宋体" w:eastAsia="宋体" w:hAnsi="宋体" w:cs="宋体"/>
          <w:b/>
          <w:bCs/>
          <w:sz w:val="18"/>
          <w:szCs w:val="18"/>
        </w:rPr>
        <w:t>5） 按欠款方归集的期末余额前五名的其他应收款情况</w:t>
      </w:r>
      <w:bookmarkEnd w:id="551"/>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广东翔鹭精密制造有限公司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往来款</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81,897,993.24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2年以内</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99.14%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社保类</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社保类</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223,011.06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0.27%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11,150.55</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住房公积金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住房公积金</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82,254.87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4,112.75</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员工1</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员工借款</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1-2年</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0.07%</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6,000.00</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员工2</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员工借款</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52,000.00</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1-2年</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0.06%</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5,200.00</w:t>
            </w:r>
          </w:p>
        </w:tc>
      </w:tr>
      <w:tr w:rsidR="00E22F4C">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82,315,259.17</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99.64%</w:t>
            </w:r>
          </w:p>
        </w:tc>
        <w:tc>
          <w:tcPr>
            <w:tcW w:w="1606"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26,463.30</w:t>
            </w:r>
          </w:p>
        </w:tc>
      </w:tr>
    </w:tbl>
    <w:p w:rsidR="00E22F4C" w:rsidRDefault="00381575">
      <w:pPr>
        <w:keepNext/>
        <w:keepLines/>
        <w:spacing w:before="300" w:after="300" w:line="280" w:lineRule="exact"/>
        <w:outlineLvl w:val="4"/>
        <w:rPr>
          <w:rFonts w:ascii="宋体" w:eastAsia="宋体" w:hAnsi="宋体" w:cs="宋体"/>
          <w:b/>
          <w:bCs/>
          <w:sz w:val="18"/>
          <w:szCs w:val="18"/>
        </w:rPr>
      </w:pPr>
      <w:bookmarkStart w:id="552" w:name="_Toc989441"/>
      <w:r>
        <w:rPr>
          <w:rFonts w:ascii="宋体" w:eastAsia="宋体" w:hAnsi="宋体" w:cs="宋体"/>
          <w:b/>
          <w:bCs/>
          <w:sz w:val="18"/>
          <w:szCs w:val="18"/>
        </w:rPr>
        <w:lastRenderedPageBreak/>
        <w:t>6） 涉及政府补助的应收款项</w:t>
      </w:r>
      <w:bookmarkEnd w:id="552"/>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政府补助项目名称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预计收取的时间、金额及依据</w:t>
            </w:r>
          </w:p>
        </w:tc>
      </w:tr>
    </w:tbl>
    <w:p w:rsidR="00E22F4C" w:rsidRDefault="00E22F4C">
      <w:pPr>
        <w:divId w:val="1787308851"/>
        <w:rPr>
          <w:sz w:val="18"/>
          <w:szCs w:val="18"/>
        </w:rPr>
      </w:pPr>
    </w:p>
    <w:p w:rsidR="00E22F4C" w:rsidRDefault="00381575">
      <w:pPr>
        <w:keepNext/>
        <w:keepLines/>
        <w:spacing w:before="300" w:after="300" w:line="280" w:lineRule="exact"/>
        <w:outlineLvl w:val="4"/>
        <w:rPr>
          <w:rFonts w:ascii="宋体" w:eastAsia="宋体" w:hAnsi="宋体" w:cs="宋体"/>
          <w:b/>
          <w:bCs/>
          <w:sz w:val="18"/>
          <w:szCs w:val="18"/>
        </w:rPr>
      </w:pPr>
      <w:bookmarkStart w:id="553" w:name="_Toc989442"/>
      <w:r>
        <w:rPr>
          <w:rFonts w:ascii="宋体" w:eastAsia="宋体" w:hAnsi="宋体" w:cs="宋体"/>
          <w:b/>
          <w:bCs/>
          <w:sz w:val="18"/>
          <w:szCs w:val="18"/>
        </w:rPr>
        <w:t>7） 因金融资产转移而终止确认的其他应收款</w:t>
      </w:r>
      <w:bookmarkEnd w:id="553"/>
    </w:p>
    <w:p w:rsidR="00E22F4C" w:rsidRDefault="00E22F4C">
      <w:pPr>
        <w:divId w:val="1343699820"/>
        <w:rPr>
          <w:sz w:val="18"/>
          <w:szCs w:val="18"/>
        </w:rPr>
      </w:pPr>
    </w:p>
    <w:p w:rsidR="00E22F4C" w:rsidRDefault="00381575">
      <w:pPr>
        <w:keepNext/>
        <w:keepLines/>
        <w:spacing w:before="300" w:after="300" w:line="280" w:lineRule="exact"/>
        <w:outlineLvl w:val="4"/>
        <w:rPr>
          <w:rFonts w:ascii="宋体" w:eastAsia="宋体" w:hAnsi="宋体" w:cs="宋体"/>
          <w:b/>
          <w:bCs/>
          <w:sz w:val="18"/>
          <w:szCs w:val="18"/>
        </w:rPr>
      </w:pPr>
      <w:bookmarkStart w:id="554" w:name="_Toc989443"/>
      <w:r>
        <w:rPr>
          <w:rFonts w:ascii="宋体" w:eastAsia="宋体" w:hAnsi="宋体" w:cs="宋体"/>
          <w:b/>
          <w:bCs/>
          <w:sz w:val="18"/>
          <w:szCs w:val="18"/>
        </w:rPr>
        <w:t>8） 转移其他应收款且继续涉入形成的资产、负债金额</w:t>
      </w:r>
      <w:bookmarkEnd w:id="554"/>
    </w:p>
    <w:p w:rsidR="00E22F4C" w:rsidRDefault="00E22F4C">
      <w:pPr>
        <w:divId w:val="1081365842"/>
        <w:rPr>
          <w:sz w:val="18"/>
          <w:szCs w:val="18"/>
        </w:rPr>
      </w:pP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754086510"/>
        <w:rPr>
          <w:sz w:val="18"/>
          <w:szCs w:val="18"/>
        </w:rPr>
      </w:pPr>
    </w:p>
    <w:p w:rsidR="00E22F4C" w:rsidRDefault="00381575">
      <w:pPr>
        <w:pStyle w:val="3"/>
        <w:spacing w:line="280" w:lineRule="exact"/>
        <w:jc w:val="left"/>
        <w:rPr>
          <w:rFonts w:ascii="宋体" w:hAnsi="宋体" w:cs="宋体"/>
          <w:b/>
          <w:bCs/>
        </w:rPr>
      </w:pPr>
      <w:bookmarkStart w:id="555" w:name="_Toc989444"/>
      <w:r>
        <w:rPr>
          <w:rFonts w:ascii="宋体" w:hAnsi="宋体" w:cs="宋体"/>
          <w:b/>
          <w:bCs/>
        </w:rPr>
        <w:t>3、长期股权投资</w:t>
      </w:r>
      <w:bookmarkEnd w:id="555"/>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E22F4C">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E22F4C">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对子公司投资</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498,845,022.98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498,845,022.98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493,500,000.00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493,500,000.00</w:t>
            </w:r>
          </w:p>
        </w:tc>
      </w:tr>
      <w:tr w:rsidR="00E22F4C">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498,845,022.98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498,845,022.98</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493,500,000.00</w:t>
            </w: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493,500,000.00</w:t>
            </w:r>
          </w:p>
        </w:tc>
      </w:tr>
    </w:tbl>
    <w:p w:rsidR="00E22F4C" w:rsidRDefault="00381575">
      <w:pPr>
        <w:keepNext/>
        <w:keepLines/>
        <w:spacing w:before="300" w:after="300" w:line="280" w:lineRule="exact"/>
        <w:outlineLvl w:val="3"/>
        <w:rPr>
          <w:rFonts w:ascii="宋体" w:eastAsia="宋体" w:hAnsi="宋体" w:cs="宋体"/>
          <w:b/>
          <w:bCs/>
          <w:szCs w:val="21"/>
        </w:rPr>
      </w:pPr>
      <w:bookmarkStart w:id="556" w:name="_Toc989445"/>
      <w:r>
        <w:rPr>
          <w:rFonts w:ascii="宋体" w:eastAsia="宋体" w:hAnsi="宋体" w:cs="宋体"/>
          <w:b/>
          <w:bCs/>
          <w:szCs w:val="21"/>
        </w:rPr>
        <w:t>（1） 对子公司投资</w:t>
      </w:r>
      <w:bookmarkEnd w:id="556"/>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E22F4C">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被投资单位</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期初余额（账面价值）</w:t>
            </w:r>
          </w:p>
        </w:tc>
        <w:tc>
          <w:tcPr>
            <w:tcW w:w="4820"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本期增减变动</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期末余额（账面价值）</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减值准备期末余额</w:t>
            </w:r>
          </w:p>
        </w:tc>
      </w:tr>
      <w:tr w:rsidR="00E22F4C">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追加投资</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减少投资</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计提减值准备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江西翔鹭钨业有限公司</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400,000,000.00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400,000,000.00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广东翔鹭精密制造有限公司</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93,500,000.00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5,345,022.98</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98,845,022.98</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493,500,000.00</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5,345,022.98</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498,845,022.98</w:t>
            </w:r>
          </w:p>
        </w:tc>
        <w:tc>
          <w:tcPr>
            <w:tcW w:w="1205"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keepNext/>
        <w:keepLines/>
        <w:spacing w:before="300" w:after="300" w:line="280" w:lineRule="exact"/>
        <w:outlineLvl w:val="3"/>
        <w:rPr>
          <w:rFonts w:ascii="宋体" w:eastAsia="宋体" w:hAnsi="宋体" w:cs="宋体"/>
          <w:b/>
          <w:bCs/>
          <w:szCs w:val="21"/>
        </w:rPr>
      </w:pPr>
      <w:bookmarkStart w:id="557" w:name="_Toc989446"/>
      <w:r>
        <w:rPr>
          <w:rFonts w:ascii="宋体" w:eastAsia="宋体" w:hAnsi="宋体" w:cs="宋体"/>
          <w:b/>
          <w:bCs/>
          <w:szCs w:val="21"/>
        </w:rPr>
        <w:t>（2） 对联营、合营企业投资</w:t>
      </w:r>
      <w:bookmarkEnd w:id="557"/>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3"/>
        <w:gridCol w:w="803"/>
        <w:gridCol w:w="803"/>
        <w:gridCol w:w="803"/>
        <w:gridCol w:w="803"/>
        <w:gridCol w:w="803"/>
        <w:gridCol w:w="803"/>
        <w:gridCol w:w="803"/>
        <w:gridCol w:w="803"/>
        <w:gridCol w:w="805"/>
        <w:gridCol w:w="803"/>
        <w:gridCol w:w="804"/>
      </w:tblGrid>
      <w:tr w:rsidR="00E22F4C">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投资单位</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期初余额（账面价值）</w:t>
            </w:r>
          </w:p>
        </w:tc>
        <w:tc>
          <w:tcPr>
            <w:tcW w:w="6426"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本期增减变动</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期末余额（账面价值）</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减值准备期末余额</w:t>
            </w:r>
          </w:p>
        </w:tc>
      </w:tr>
      <w:tr w:rsidR="00E22F4C">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追加投资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减少投资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权益法下确认的投资损益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其他综合收益调整</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其他权益变动</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宣告发放现金股利或利润</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计提减值准备</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一、合营企业</w:t>
            </w:r>
          </w:p>
        </w:tc>
      </w:tr>
      <w:tr w:rsidR="00E22F4C">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二、联营企业</w:t>
            </w:r>
          </w:p>
        </w:tc>
      </w:tr>
    </w:tbl>
    <w:p w:rsidR="00E22F4C" w:rsidRDefault="00381575">
      <w:pPr>
        <w:keepNext/>
        <w:keepLines/>
        <w:spacing w:before="300" w:after="300" w:line="280" w:lineRule="exact"/>
        <w:outlineLvl w:val="3"/>
        <w:rPr>
          <w:rFonts w:ascii="宋体" w:eastAsia="宋体" w:hAnsi="宋体" w:cs="宋体"/>
          <w:b/>
          <w:bCs/>
          <w:szCs w:val="21"/>
        </w:rPr>
      </w:pPr>
      <w:bookmarkStart w:id="558" w:name="_Toc989447"/>
      <w:r>
        <w:rPr>
          <w:rFonts w:ascii="宋体" w:eastAsia="宋体" w:hAnsi="宋体" w:cs="宋体"/>
          <w:b/>
          <w:bCs/>
          <w:szCs w:val="21"/>
        </w:rPr>
        <w:t>（3） 其他说明</w:t>
      </w:r>
      <w:bookmarkEnd w:id="558"/>
    </w:p>
    <w:p w:rsidR="00E22F4C" w:rsidRDefault="00E22F4C">
      <w:pPr>
        <w:divId w:val="2134396127"/>
        <w:rPr>
          <w:sz w:val="18"/>
          <w:szCs w:val="18"/>
        </w:rPr>
      </w:pPr>
    </w:p>
    <w:p w:rsidR="00E22F4C" w:rsidRDefault="00381575">
      <w:pPr>
        <w:pStyle w:val="3"/>
        <w:spacing w:line="280" w:lineRule="exact"/>
        <w:jc w:val="left"/>
        <w:rPr>
          <w:rFonts w:ascii="宋体" w:hAnsi="宋体" w:cs="宋体"/>
          <w:b/>
          <w:bCs/>
        </w:rPr>
      </w:pPr>
      <w:bookmarkStart w:id="559" w:name="_Toc989448"/>
      <w:r>
        <w:rPr>
          <w:rFonts w:ascii="宋体" w:hAnsi="宋体" w:cs="宋体"/>
          <w:b/>
          <w:bCs/>
        </w:rPr>
        <w:t>4、营业收入和营业成本</w:t>
      </w:r>
      <w:bookmarkEnd w:id="559"/>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1,576,610,780.22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1,438,019,865.60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1,539,570,356.60</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1,375,357,921.47</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12,676,364.05</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7,351,140.52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7,556,594.93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5,653,119.28</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1,589,287,144.27</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1,445,371,006.12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1,547,126,951.53</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1,381,011,040.75</w:t>
            </w:r>
          </w:p>
        </w:tc>
      </w:tr>
    </w:tbl>
    <w:p w:rsidR="00E22F4C" w:rsidRDefault="00381575">
      <w:pPr>
        <w:spacing w:line="240" w:lineRule="exact"/>
        <w:rPr>
          <w:rFonts w:ascii="宋体" w:eastAsia="宋体" w:hAnsi="宋体" w:cs="宋体"/>
          <w:sz w:val="18"/>
          <w:szCs w:val="18"/>
        </w:rPr>
      </w:pPr>
      <w:r>
        <w:rPr>
          <w:rFonts w:ascii="宋体" w:eastAsia="宋体" w:hAnsi="宋体" w:cs="宋体"/>
          <w:sz w:val="18"/>
          <w:szCs w:val="18"/>
        </w:rPr>
        <w:t>收入相关信息：</w:t>
      </w:r>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合同分类</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分部1</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分部2</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center"/>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商品类型</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按经营地区分类</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市场或客户类型</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合同类型</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按商品转让的时间分类</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按合同期限分类</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按销售渠道分类</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r>
      <w:tr w:rsidR="00E22F4C">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与履约义务相关的信息：</w:t>
      </w:r>
    </w:p>
    <w:p w:rsidR="00E22F4C" w:rsidRDefault="00E22F4C">
      <w:pPr>
        <w:pStyle w:val="a4"/>
        <w:divId w:val="1536888900"/>
        <w:rPr>
          <w:sz w:val="18"/>
          <w:szCs w:val="18"/>
        </w:rPr>
      </w:pPr>
      <w:r>
        <w:rPr>
          <w:rFonts w:hint="eastAsia"/>
          <w:sz w:val="18"/>
          <w:szCs w:val="18"/>
        </w:rPr>
        <w:t>无</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与分摊至剩余履约义务的交易价格相关的信息：</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本报告期末已签订合同、但尚未履行或尚未履行完毕的履约义务所对应的收入金额为213,556,208.40元，其中，213,556,208.40元预计将于2023年度确认收入，元预计将于年度确认收入，元预计将于年度确认收入。</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E22F4C" w:rsidRDefault="00E22F4C">
      <w:pPr>
        <w:divId w:val="1603026259"/>
        <w:rPr>
          <w:sz w:val="18"/>
          <w:szCs w:val="18"/>
        </w:rPr>
      </w:pPr>
    </w:p>
    <w:p w:rsidR="00E22F4C" w:rsidRDefault="00381575">
      <w:pPr>
        <w:pStyle w:val="3"/>
        <w:spacing w:line="280" w:lineRule="exact"/>
        <w:jc w:val="left"/>
        <w:rPr>
          <w:rFonts w:ascii="宋体" w:hAnsi="宋体" w:cs="宋体"/>
          <w:b/>
          <w:bCs/>
        </w:rPr>
      </w:pPr>
      <w:bookmarkStart w:id="560" w:name="_Toc989449"/>
      <w:r>
        <w:rPr>
          <w:rFonts w:ascii="宋体" w:hAnsi="宋体" w:cs="宋体"/>
          <w:b/>
          <w:bCs/>
        </w:rPr>
        <w:t>5、投资收益</w:t>
      </w:r>
      <w:bookmarkEnd w:id="560"/>
    </w:p>
    <w:p w:rsidR="00E22F4C" w:rsidRDefault="00381575">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处置以公允价值计量且其变动计入当期损益的金融资产取得的投资收益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-490,015.00</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其他-可转债闲置资金理财收益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747,185.08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jc w:val="righ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257,170.08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886,963.60</w:t>
            </w:r>
          </w:p>
        </w:tc>
      </w:tr>
    </w:tbl>
    <w:p w:rsidR="00E22F4C" w:rsidRDefault="00381575">
      <w:pPr>
        <w:pStyle w:val="3"/>
        <w:spacing w:line="280" w:lineRule="exact"/>
        <w:jc w:val="left"/>
        <w:rPr>
          <w:rFonts w:ascii="宋体" w:hAnsi="宋体" w:cs="宋体"/>
          <w:b/>
          <w:bCs/>
        </w:rPr>
      </w:pPr>
      <w:bookmarkStart w:id="561" w:name="_Toc989450"/>
      <w:r>
        <w:rPr>
          <w:rFonts w:ascii="宋体" w:hAnsi="宋体" w:cs="宋体"/>
          <w:b/>
          <w:bCs/>
        </w:rPr>
        <w:t>6、其他</w:t>
      </w:r>
      <w:bookmarkEnd w:id="561"/>
    </w:p>
    <w:p w:rsidR="00E22F4C" w:rsidRDefault="00E22F4C">
      <w:pPr>
        <w:divId w:val="1925799921"/>
        <w:rPr>
          <w:sz w:val="18"/>
          <w:szCs w:val="18"/>
        </w:rPr>
      </w:pPr>
    </w:p>
    <w:p w:rsidR="00E22F4C" w:rsidRDefault="00381575">
      <w:pPr>
        <w:pStyle w:val="2"/>
        <w:spacing w:before="300" w:after="300" w:line="320" w:lineRule="exact"/>
        <w:rPr>
          <w:rFonts w:ascii="宋体" w:eastAsia="宋体" w:hAnsi="宋体" w:cs="宋体"/>
          <w:b/>
          <w:bCs/>
          <w:sz w:val="24"/>
          <w:szCs w:val="24"/>
        </w:rPr>
      </w:pPr>
      <w:bookmarkStart w:id="562" w:name="_Toc989451"/>
      <w:r>
        <w:rPr>
          <w:rFonts w:ascii="宋体" w:eastAsia="宋体" w:hAnsi="宋体" w:cs="宋体"/>
          <w:b/>
          <w:bCs/>
          <w:sz w:val="24"/>
          <w:szCs w:val="24"/>
        </w:rPr>
        <w:t>十八、补充资料</w:t>
      </w:r>
      <w:bookmarkEnd w:id="562"/>
    </w:p>
    <w:p w:rsidR="00E22F4C" w:rsidRDefault="00381575">
      <w:pPr>
        <w:pStyle w:val="3"/>
        <w:spacing w:line="280" w:lineRule="exact"/>
        <w:jc w:val="left"/>
        <w:rPr>
          <w:rFonts w:ascii="宋体" w:hAnsi="宋体" w:cs="宋体"/>
          <w:b/>
          <w:bCs/>
        </w:rPr>
      </w:pPr>
      <w:bookmarkStart w:id="563" w:name="_Toc989452"/>
      <w:r>
        <w:rPr>
          <w:rFonts w:ascii="宋体" w:hAnsi="宋体" w:cs="宋体"/>
          <w:b/>
          <w:bCs/>
        </w:rPr>
        <w:t>1、当期非经常性损益明细表</w:t>
      </w:r>
      <w:bookmarkEnd w:id="563"/>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381575">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说明</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非流动资产处置损益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-1,745,815.84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固定资产报废损失</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计入当期损益的政府补助（与公司正常经营业务密切相关，符合国家政策规定、按照一定标准定额或定量持续享受的政府补助除外）</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13,427,895.14</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政府补助</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251,710.08</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可转债闲置资金理财等</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除上述各项之外的其他营业外收入和支出</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-649,443.01</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rPr>
                <w:rFonts w:ascii="宋体" w:eastAsia="宋体" w:hAnsi="宋体" w:cs="宋体"/>
                <w:sz w:val="18"/>
                <w:szCs w:val="18"/>
              </w:rPr>
            </w:pPr>
            <w:r>
              <w:rPr>
                <w:rFonts w:ascii="宋体" w:eastAsia="宋体" w:hAnsi="宋体" w:cs="宋体"/>
                <w:sz w:val="18"/>
                <w:szCs w:val="18"/>
              </w:rPr>
              <w:t>捐赠支出等</w:t>
            </w: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其他符合非经常性损益定义的损益项目</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582,662.49</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减：所得税影响额</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1,764,217.85</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E22F4C">
            <w:pPr>
              <w:spacing w:line="240" w:lineRule="exact"/>
              <w:rPr>
                <w:rFonts w:ascii="宋体" w:eastAsia="宋体" w:hAnsi="宋体" w:cs="宋体"/>
                <w:sz w:val="18"/>
                <w:szCs w:val="18"/>
              </w:rPr>
            </w:pPr>
          </w:p>
        </w:tc>
      </w:tr>
      <w:tr w:rsidR="00E22F4C">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10,102,791.01</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其他符合非经常性损益定义的损益项目的具体情况：</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E22F4C" w:rsidRDefault="00E22F4C">
      <w:pPr>
        <w:pStyle w:val="a4"/>
        <w:spacing w:line="200" w:lineRule="atLeast"/>
        <w:divId w:val="812064321"/>
        <w:rPr>
          <w:sz w:val="18"/>
          <w:szCs w:val="18"/>
        </w:rPr>
      </w:pPr>
      <w:r>
        <w:rPr>
          <w:rFonts w:ascii="微软雅黑" w:eastAsia="微软雅黑" w:hAnsi="微软雅黑" w:hint="eastAsia"/>
          <w:color w:val="171F46"/>
          <w:sz w:val="18"/>
          <w:szCs w:val="18"/>
          <w:shd w:val="clear" w:color="auto" w:fill="FFFFFF"/>
        </w:rPr>
        <w:t>主要为个税手续费返回，稳岗、就业补贴等</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将《公开发行证券的公司信息披露解释性公告第1号——非经常性损益》中列举的非经常性损益项目界定为经常性损益项目的情况说明</w:t>
      </w:r>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pStyle w:val="3"/>
        <w:spacing w:line="280" w:lineRule="exact"/>
        <w:jc w:val="left"/>
        <w:rPr>
          <w:rFonts w:ascii="宋体" w:hAnsi="宋体" w:cs="宋体"/>
          <w:b/>
          <w:bCs/>
        </w:rPr>
      </w:pPr>
      <w:bookmarkStart w:id="564" w:name="_Toc989453"/>
      <w:r>
        <w:rPr>
          <w:rFonts w:ascii="宋体" w:hAnsi="宋体" w:cs="宋体"/>
          <w:b/>
          <w:bCs/>
        </w:rPr>
        <w:t>2、净资产收益率及每股收益</w:t>
      </w:r>
      <w:bookmarkEnd w:id="564"/>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E22F4C">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报告期利润</w:t>
            </w:r>
          </w:p>
        </w:tc>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加权平均净资产收益率</w:t>
            </w:r>
          </w:p>
        </w:tc>
        <w:tc>
          <w:tcPr>
            <w:tcW w:w="48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每股收益</w:t>
            </w:r>
          </w:p>
        </w:tc>
      </w:tr>
      <w:tr w:rsidR="00E22F4C">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E22F4C"/>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基本每股收益（元/股）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jc w:val="center"/>
              <w:rPr>
                <w:rFonts w:ascii="宋体" w:eastAsia="宋体" w:hAnsi="宋体" w:cs="宋体"/>
                <w:sz w:val="18"/>
                <w:szCs w:val="18"/>
              </w:rPr>
            </w:pPr>
            <w:r>
              <w:rPr>
                <w:rFonts w:ascii="宋体" w:eastAsia="宋体" w:hAnsi="宋体" w:cs="宋体"/>
                <w:sz w:val="18"/>
                <w:szCs w:val="18"/>
              </w:rPr>
              <w:t>稀释每股收益（元/股）</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-4.17%</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-0.15</w:t>
            </w:r>
          </w:p>
        </w:tc>
      </w:tr>
      <w:tr w:rsidR="00E22F4C">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E22F4C" w:rsidRDefault="00381575">
            <w:pPr>
              <w:spacing w:before="40" w:after="40" w:line="240" w:lineRule="exact"/>
              <w:rPr>
                <w:rFonts w:ascii="宋体" w:eastAsia="宋体" w:hAnsi="宋体" w:cs="宋体"/>
                <w:sz w:val="18"/>
                <w:szCs w:val="18"/>
              </w:rPr>
            </w:pPr>
            <w:r>
              <w:rPr>
                <w:rFonts w:ascii="宋体" w:eastAsia="宋体" w:hAnsi="宋体" w:cs="宋体"/>
                <w:sz w:val="18"/>
                <w:szCs w:val="18"/>
              </w:rPr>
              <w:t>扣除非经常性损益后归属于公司普通股股东的净利润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-5.19%</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-0.18</w:t>
            </w:r>
          </w:p>
        </w:tc>
        <w:tc>
          <w:tcPr>
            <w:tcW w:w="2410" w:type="dxa"/>
            <w:tcBorders>
              <w:top w:val="single" w:sz="2" w:space="0" w:color="auto"/>
              <w:left w:val="single" w:sz="2" w:space="0" w:color="auto"/>
              <w:bottom w:val="single" w:sz="2" w:space="0" w:color="auto"/>
              <w:right w:val="single" w:sz="2" w:space="0" w:color="auto"/>
            </w:tcBorders>
            <w:vAlign w:val="center"/>
          </w:tcPr>
          <w:p w:rsidR="00E22F4C" w:rsidRDefault="00381575">
            <w:pPr>
              <w:spacing w:line="240" w:lineRule="exact"/>
              <w:jc w:val="right"/>
              <w:rPr>
                <w:rFonts w:ascii="宋体" w:eastAsia="宋体" w:hAnsi="宋体" w:cs="宋体"/>
                <w:sz w:val="18"/>
                <w:szCs w:val="18"/>
              </w:rPr>
            </w:pPr>
            <w:r>
              <w:rPr>
                <w:rFonts w:ascii="宋体" w:eastAsia="宋体" w:hAnsi="宋体" w:cs="宋体"/>
                <w:sz w:val="18"/>
                <w:szCs w:val="18"/>
              </w:rPr>
              <w:t>-0.18</w:t>
            </w:r>
          </w:p>
        </w:tc>
      </w:tr>
    </w:tbl>
    <w:p w:rsidR="00E22F4C" w:rsidRDefault="00381575">
      <w:pPr>
        <w:pStyle w:val="3"/>
        <w:spacing w:line="280" w:lineRule="exact"/>
        <w:jc w:val="left"/>
        <w:rPr>
          <w:rFonts w:ascii="宋体" w:hAnsi="宋体" w:cs="宋体"/>
          <w:b/>
          <w:bCs/>
        </w:rPr>
      </w:pPr>
      <w:bookmarkStart w:id="565" w:name="_Toc989454"/>
      <w:r>
        <w:rPr>
          <w:rFonts w:ascii="宋体" w:hAnsi="宋体" w:cs="宋体"/>
          <w:b/>
          <w:bCs/>
        </w:rPr>
        <w:t>3、境内外会计准则下会计数据差异</w:t>
      </w:r>
      <w:bookmarkEnd w:id="565"/>
    </w:p>
    <w:p w:rsidR="00E22F4C" w:rsidRDefault="00381575">
      <w:pPr>
        <w:keepNext/>
        <w:keepLines/>
        <w:spacing w:before="300" w:after="300" w:line="280" w:lineRule="exact"/>
        <w:outlineLvl w:val="3"/>
        <w:rPr>
          <w:rFonts w:ascii="宋体" w:eastAsia="宋体" w:hAnsi="宋体" w:cs="宋体"/>
          <w:b/>
          <w:bCs/>
          <w:szCs w:val="21"/>
        </w:rPr>
      </w:pPr>
      <w:bookmarkStart w:id="566" w:name="_Toc989455"/>
      <w:r>
        <w:rPr>
          <w:rFonts w:ascii="宋体" w:eastAsia="宋体" w:hAnsi="宋体" w:cs="宋体"/>
          <w:b/>
          <w:bCs/>
          <w:szCs w:val="21"/>
        </w:rPr>
        <w:t>（1） 同时按照国际会计准则与按中国会计准则披露的财务报告中净利润和净资产差异情况</w:t>
      </w:r>
      <w:bookmarkEnd w:id="566"/>
    </w:p>
    <w:p w:rsidR="00E22F4C" w:rsidRDefault="00381575">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Cs w:val="21"/>
        </w:rPr>
      </w:pPr>
      <w:bookmarkStart w:id="567" w:name="_Toc989456"/>
      <w:r>
        <w:rPr>
          <w:rFonts w:ascii="宋体" w:eastAsia="宋体" w:hAnsi="宋体" w:cs="宋体"/>
          <w:b/>
          <w:bCs/>
          <w:szCs w:val="21"/>
        </w:rPr>
        <w:t>（2） 同时按照境外会计准则与按中国会计准则披露的财务报告中净利润和净资产差异情况</w:t>
      </w:r>
      <w:bookmarkEnd w:id="567"/>
    </w:p>
    <w:p w:rsidR="00E22F4C" w:rsidRDefault="00381575">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E22F4C" w:rsidRDefault="00381575">
      <w:pPr>
        <w:keepNext/>
        <w:keepLines/>
        <w:spacing w:before="300" w:after="300" w:line="280" w:lineRule="exact"/>
        <w:outlineLvl w:val="3"/>
        <w:rPr>
          <w:rFonts w:ascii="宋体" w:eastAsia="宋体" w:hAnsi="宋体" w:cs="宋体"/>
          <w:b/>
          <w:bCs/>
          <w:szCs w:val="21"/>
        </w:rPr>
      </w:pPr>
      <w:bookmarkStart w:id="568" w:name="_Toc989457"/>
      <w:r>
        <w:rPr>
          <w:rFonts w:ascii="宋体" w:eastAsia="宋体" w:hAnsi="宋体" w:cs="宋体"/>
          <w:b/>
          <w:bCs/>
          <w:szCs w:val="21"/>
        </w:rPr>
        <w:t>（3） 境内外会计准则下会计数据差异原因说明，对已经境外审计机构审计的数据进行差异调节的，应注明该境外机构的名称</w:t>
      </w:r>
      <w:bookmarkEnd w:id="568"/>
    </w:p>
    <w:p w:rsidR="00E22F4C" w:rsidRDefault="00E22F4C">
      <w:pPr>
        <w:divId w:val="1734356373"/>
        <w:rPr>
          <w:sz w:val="18"/>
          <w:szCs w:val="18"/>
        </w:rPr>
      </w:pPr>
    </w:p>
    <w:p w:rsidR="00E22F4C" w:rsidRDefault="00381575">
      <w:pPr>
        <w:pStyle w:val="3"/>
        <w:spacing w:line="280" w:lineRule="exact"/>
        <w:jc w:val="left"/>
        <w:rPr>
          <w:rFonts w:ascii="宋体" w:hAnsi="宋体" w:cs="宋体"/>
          <w:b/>
          <w:bCs/>
        </w:rPr>
      </w:pPr>
      <w:bookmarkStart w:id="569" w:name="_Toc989458"/>
      <w:r>
        <w:rPr>
          <w:rFonts w:ascii="宋体" w:hAnsi="宋体" w:cs="宋体"/>
          <w:b/>
          <w:bCs/>
        </w:rPr>
        <w:t>4、其他</w:t>
      </w:r>
      <w:bookmarkEnd w:id="569"/>
    </w:p>
    <w:p w:rsidR="00E22F4C" w:rsidRDefault="00E22F4C">
      <w:pPr>
        <w:divId w:val="182328112"/>
        <w:rPr>
          <w:sz w:val="18"/>
          <w:szCs w:val="18"/>
        </w:rPr>
      </w:pPr>
    </w:p>
    <w:p w:rsidR="00E22F4C" w:rsidRDefault="00E22F4C">
      <w:pPr>
        <w:spacing w:before="100" w:after="100" w:line="0" w:lineRule="atLeast"/>
      </w:pPr>
    </w:p>
    <w:sectPr w:rsidR="00E22F4C" w:rsidSect="00E22F4C">
      <w:headerReference w:type="default" r:id="rId28"/>
      <w:footerReference w:type="default" r:id="rId29"/>
      <w:pgSz w:w="11905" w:h="16840"/>
      <w:pgMar w:top="1440" w:right="1134" w:bottom="1440" w:left="1134" w:header="850"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5B9" w:rsidRDefault="007235B9" w:rsidP="00E22F4C">
      <w:r>
        <w:separator/>
      </w:r>
    </w:p>
  </w:endnote>
  <w:endnote w:type="continuationSeparator" w:id="1">
    <w:p w:rsidR="007235B9" w:rsidRDefault="007235B9" w:rsidP="00E22F4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䅂䍄䕅⯋컌">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F4C" w:rsidRDefault="009A3D61">
    <w:pPr>
      <w:pStyle w:val="fotter1"/>
    </w:pPr>
    <w:r>
      <w:fldChar w:fldCharType="begin"/>
    </w:r>
    <w:r w:rsidR="00381575">
      <w:instrText>PAGE   \* MERGEFORMAT</w:instrText>
    </w:r>
    <w:r>
      <w:fldChar w:fldCharType="separate"/>
    </w:r>
    <w:r w:rsidR="0077016B">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5B9" w:rsidRDefault="007235B9" w:rsidP="00E22F4C">
      <w:r>
        <w:separator/>
      </w:r>
    </w:p>
  </w:footnote>
  <w:footnote w:type="continuationSeparator" w:id="1">
    <w:p w:rsidR="007235B9" w:rsidRDefault="007235B9" w:rsidP="00E22F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F4C" w:rsidRDefault="00381575">
    <w:pPr>
      <w:pStyle w:val="Header1"/>
      <w:pBdr>
        <w:bottom w:val="single" w:sz="6" w:space="1" w:color="auto"/>
      </w:pBdr>
    </w:pPr>
    <w:r>
      <w:t>广东翔鹭钨业股份有限公司2022年年度报告全文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36886"/>
    <w:multiLevelType w:val="multilevel"/>
    <w:tmpl w:val="36B663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hideSpellingErrors/>
  <w:defaultTabStop w:val="420"/>
  <w:characterSpacingControl w:val="doNotCompress"/>
  <w:hdrShapeDefaults>
    <o:shapedefaults v:ext="edit" spidmax="5122"/>
  </w:hdrShapeDefaults>
  <w:footnotePr>
    <w:footnote w:id="0"/>
    <w:footnote w:id="1"/>
  </w:footnotePr>
  <w:endnotePr>
    <w:endnote w:id="0"/>
    <w:endnote w:id="1"/>
  </w:endnotePr>
  <w:compat>
    <w:useFELayout/>
  </w:compat>
  <w:rsids>
    <w:rsidRoot w:val="00E22F4C"/>
    <w:rsid w:val="001A1414"/>
    <w:rsid w:val="00251F81"/>
    <w:rsid w:val="00381575"/>
    <w:rsid w:val="007235B9"/>
    <w:rsid w:val="0077016B"/>
    <w:rsid w:val="007C0AE3"/>
    <w:rsid w:val="009A3D61"/>
    <w:rsid w:val="00E22F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F4C"/>
    <w:pPr>
      <w:widowControl w:val="0"/>
    </w:pPr>
  </w:style>
  <w:style w:type="paragraph" w:styleId="1">
    <w:name w:val="heading 1"/>
    <w:basedOn w:val="a"/>
    <w:link w:val="1Char"/>
    <w:uiPriority w:val="9"/>
    <w:qFormat/>
    <w:rsid w:val="00E22F4C"/>
    <w:pPr>
      <w:widowControl/>
      <w:spacing w:before="100" w:beforeAutospacing="1" w:after="100" w:afterAutospacing="1"/>
      <w:outlineLvl w:val="0"/>
    </w:pPr>
    <w:rPr>
      <w:rFonts w:ascii="宋体" w:eastAsia="宋体" w:hAnsi="宋体" w:cs="宋体"/>
      <w:b/>
      <w:bCs/>
      <w:kern w:val="36"/>
      <w:sz w:val="48"/>
      <w:szCs w:val="48"/>
    </w:rPr>
  </w:style>
  <w:style w:type="paragraph" w:styleId="2">
    <w:name w:val="heading 2"/>
    <w:basedOn w:val="a"/>
    <w:next w:val="a"/>
    <w:uiPriority w:val="9"/>
    <w:unhideWhenUsed/>
    <w:qFormat/>
    <w:rsid w:val="00E22F4C"/>
    <w:pPr>
      <w:keepNext/>
      <w:keepLines/>
      <w:spacing w:before="156" w:after="156"/>
      <w:outlineLvl w:val="1"/>
    </w:pPr>
    <w:rPr>
      <w:szCs w:val="21"/>
    </w:rPr>
  </w:style>
  <w:style w:type="paragraph" w:styleId="3">
    <w:name w:val="heading 3"/>
    <w:basedOn w:val="a"/>
    <w:next w:val="a"/>
    <w:uiPriority w:val="99"/>
    <w:qFormat/>
    <w:rsid w:val="00B74129"/>
    <w:pPr>
      <w:keepNext/>
      <w:keepLines/>
      <w:spacing w:before="300" w:after="300" w:line="241" w:lineRule="auto"/>
      <w:jc w:val="both"/>
      <w:outlineLvl w:val="2"/>
    </w:pPr>
    <w:rPr>
      <w:rFonts w:eastAsia="宋体"/>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rsid w:val="00E22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rsid w:val="00E22F4C"/>
    <w:pPr>
      <w:jc w:val="right"/>
    </w:pPr>
    <w:rPr>
      <w:rFonts w:ascii="宋体" w:eastAsia="宋体"/>
      <w:sz w:val="18"/>
      <w:szCs w:val="18"/>
    </w:rPr>
  </w:style>
  <w:style w:type="paragraph" w:customStyle="1" w:styleId="headingh1">
    <w:name w:val="heading h1"/>
    <w:basedOn w:val="a"/>
    <w:next w:val="a"/>
    <w:uiPriority w:val="9"/>
    <w:qFormat/>
    <w:rsid w:val="00E22F4C"/>
    <w:pPr>
      <w:keepNext/>
      <w:keepLines/>
      <w:spacing w:before="240" w:after="240" w:line="578" w:lineRule="auto"/>
      <w:outlineLvl w:val="0"/>
    </w:pPr>
    <w:rPr>
      <w:kern w:val="44"/>
      <w:sz w:val="44"/>
      <w:szCs w:val="44"/>
    </w:rPr>
  </w:style>
  <w:style w:type="paragraph" w:customStyle="1" w:styleId="fotter1">
    <w:name w:val="fotter 1"/>
    <w:rsid w:val="00E22F4C"/>
    <w:pPr>
      <w:jc w:val="right"/>
    </w:pPr>
    <w:rPr>
      <w:rFonts w:ascii="宋体" w:eastAsia="宋体"/>
      <w:sz w:val="18"/>
      <w:szCs w:val="18"/>
    </w:rPr>
  </w:style>
  <w:style w:type="paragraph" w:styleId="10">
    <w:name w:val="toc 1"/>
    <w:basedOn w:val="a"/>
    <w:next w:val="a"/>
    <w:autoRedefine/>
    <w:uiPriority w:val="39"/>
    <w:rsid w:val="00E22F4C"/>
  </w:style>
  <w:style w:type="paragraph" w:styleId="20">
    <w:name w:val="toc 2"/>
    <w:basedOn w:val="a"/>
    <w:next w:val="a"/>
    <w:autoRedefine/>
    <w:uiPriority w:val="39"/>
    <w:unhideWhenUsed/>
    <w:rsid w:val="00E22F4C"/>
    <w:pPr>
      <w:ind w:leftChars="200" w:left="420"/>
    </w:pPr>
  </w:style>
  <w:style w:type="paragraph" w:styleId="a4">
    <w:name w:val="Normal (Web)"/>
    <w:basedOn w:val="a"/>
    <w:uiPriority w:val="99"/>
    <w:unhideWhenUsed/>
    <w:rsid w:val="00E22F4C"/>
    <w:pPr>
      <w:widowControl/>
      <w:spacing w:before="100" w:beforeAutospacing="1" w:after="100" w:afterAutospacing="1"/>
    </w:pPr>
    <w:rPr>
      <w:rFonts w:ascii="宋体" w:eastAsia="宋体" w:hAnsi="宋体" w:cs="宋体"/>
      <w:kern w:val="0"/>
      <w:sz w:val="24"/>
      <w:szCs w:val="24"/>
    </w:rPr>
  </w:style>
  <w:style w:type="paragraph" w:customStyle="1" w:styleId="15">
    <w:name w:val="15"/>
    <w:basedOn w:val="a"/>
    <w:rsid w:val="00E22F4C"/>
    <w:pPr>
      <w:widowControl/>
      <w:spacing w:before="100" w:beforeAutospacing="1" w:after="100" w:afterAutospacing="1"/>
    </w:pPr>
    <w:rPr>
      <w:rFonts w:ascii="宋体" w:eastAsia="宋体" w:hAnsi="宋体" w:cs="宋体"/>
      <w:kern w:val="0"/>
      <w:sz w:val="24"/>
      <w:szCs w:val="24"/>
    </w:rPr>
  </w:style>
  <w:style w:type="character" w:styleId="a5">
    <w:name w:val="Strong"/>
    <w:basedOn w:val="a0"/>
    <w:uiPriority w:val="22"/>
    <w:qFormat/>
    <w:rsid w:val="00E22F4C"/>
    <w:rPr>
      <w:b/>
      <w:bCs/>
    </w:rPr>
  </w:style>
  <w:style w:type="character" w:styleId="a6">
    <w:name w:val="Hyperlink"/>
    <w:basedOn w:val="a0"/>
    <w:uiPriority w:val="99"/>
    <w:semiHidden/>
    <w:unhideWhenUsed/>
    <w:rsid w:val="00E22F4C"/>
    <w:rPr>
      <w:color w:val="0000FF"/>
      <w:u w:val="single"/>
    </w:rPr>
  </w:style>
  <w:style w:type="character" w:customStyle="1" w:styleId="1Char">
    <w:name w:val="标题 1 Char"/>
    <w:basedOn w:val="a0"/>
    <w:link w:val="1"/>
    <w:uiPriority w:val="9"/>
    <w:rsid w:val="00E22F4C"/>
    <w:rPr>
      <w:rFonts w:ascii="宋体" w:eastAsia="宋体" w:hAnsi="宋体" w:cs="宋体"/>
      <w:b/>
      <w:bCs/>
      <w:kern w:val="36"/>
      <w:sz w:val="48"/>
      <w:szCs w:val="48"/>
    </w:rPr>
  </w:style>
  <w:style w:type="paragraph" w:customStyle="1" w:styleId="200">
    <w:name w:val="20"/>
    <w:basedOn w:val="a"/>
    <w:rsid w:val="00E22F4C"/>
    <w:pPr>
      <w:widowControl/>
      <w:spacing w:before="100" w:beforeAutospacing="1" w:after="100" w:afterAutospacing="1"/>
    </w:pPr>
    <w:rPr>
      <w:rFonts w:ascii="宋体" w:eastAsia="宋体" w:hAnsi="宋体" w:cs="宋体"/>
      <w:kern w:val="0"/>
      <w:sz w:val="24"/>
      <w:szCs w:val="24"/>
    </w:rPr>
  </w:style>
  <w:style w:type="paragraph" w:customStyle="1" w:styleId="21">
    <w:name w:val="21"/>
    <w:basedOn w:val="a"/>
    <w:rsid w:val="00E22F4C"/>
    <w:pPr>
      <w:widowControl/>
      <w:spacing w:before="100" w:beforeAutospacing="1" w:after="100" w:afterAutospacing="1"/>
    </w:pPr>
    <w:rPr>
      <w:rFonts w:ascii="宋体" w:eastAsia="宋体" w:hAnsi="宋体" w:cs="宋体"/>
      <w:kern w:val="0"/>
      <w:sz w:val="24"/>
      <w:szCs w:val="24"/>
    </w:rPr>
  </w:style>
  <w:style w:type="paragraph" w:customStyle="1" w:styleId="17">
    <w:name w:val="17"/>
    <w:basedOn w:val="a"/>
    <w:rsid w:val="00E22F4C"/>
    <w:pPr>
      <w:widowControl/>
      <w:spacing w:before="100" w:beforeAutospacing="1" w:after="100" w:afterAutospacing="1"/>
    </w:pPr>
    <w:rPr>
      <w:rFonts w:ascii="宋体" w:eastAsia="宋体" w:hAnsi="宋体" w:cs="宋体"/>
      <w:kern w:val="0"/>
      <w:sz w:val="24"/>
      <w:szCs w:val="24"/>
    </w:rPr>
  </w:style>
  <w:style w:type="paragraph" w:customStyle="1" w:styleId="16">
    <w:name w:val="16"/>
    <w:basedOn w:val="a"/>
    <w:rsid w:val="00E22F4C"/>
    <w:pPr>
      <w:widowControl/>
      <w:spacing w:before="100" w:beforeAutospacing="1" w:after="100" w:afterAutospacing="1"/>
    </w:pPr>
    <w:rPr>
      <w:rFonts w:ascii="宋体" w:eastAsia="宋体" w:hAnsi="宋体" w:cs="宋体"/>
      <w:kern w:val="0"/>
      <w:sz w:val="24"/>
      <w:szCs w:val="24"/>
    </w:rPr>
  </w:style>
  <w:style w:type="paragraph" w:customStyle="1" w:styleId="19">
    <w:name w:val="19"/>
    <w:basedOn w:val="a"/>
    <w:rsid w:val="00E22F4C"/>
    <w:pPr>
      <w:widowControl/>
      <w:spacing w:before="100" w:beforeAutospacing="1" w:after="100" w:afterAutospacing="1"/>
    </w:pPr>
    <w:rPr>
      <w:rFonts w:ascii="宋体" w:eastAsia="宋体" w:hAnsi="宋体" w:cs="宋体"/>
      <w:kern w:val="0"/>
      <w:sz w:val="24"/>
      <w:szCs w:val="24"/>
    </w:rPr>
  </w:style>
  <w:style w:type="paragraph" w:styleId="a7">
    <w:name w:val="Balloon Text"/>
    <w:basedOn w:val="a"/>
    <w:link w:val="Char"/>
    <w:uiPriority w:val="99"/>
    <w:semiHidden/>
    <w:unhideWhenUsed/>
    <w:rsid w:val="007C0AE3"/>
    <w:rPr>
      <w:sz w:val="18"/>
      <w:szCs w:val="18"/>
    </w:rPr>
  </w:style>
  <w:style w:type="character" w:customStyle="1" w:styleId="Char">
    <w:name w:val="批注框文本 Char"/>
    <w:basedOn w:val="a0"/>
    <w:link w:val="a7"/>
    <w:uiPriority w:val="99"/>
    <w:semiHidden/>
    <w:rsid w:val="007C0AE3"/>
    <w:rPr>
      <w:sz w:val="18"/>
      <w:szCs w:val="18"/>
    </w:rPr>
  </w:style>
  <w:style w:type="paragraph" w:styleId="a8">
    <w:name w:val="header"/>
    <w:basedOn w:val="a"/>
    <w:link w:val="Char0"/>
    <w:uiPriority w:val="99"/>
    <w:semiHidden/>
    <w:unhideWhenUsed/>
    <w:rsid w:val="007C0A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semiHidden/>
    <w:rsid w:val="007C0AE3"/>
    <w:rPr>
      <w:sz w:val="18"/>
      <w:szCs w:val="18"/>
    </w:rPr>
  </w:style>
  <w:style w:type="paragraph" w:styleId="a9">
    <w:name w:val="footer"/>
    <w:basedOn w:val="a"/>
    <w:link w:val="Char1"/>
    <w:uiPriority w:val="99"/>
    <w:semiHidden/>
    <w:unhideWhenUsed/>
    <w:rsid w:val="007C0AE3"/>
    <w:pPr>
      <w:tabs>
        <w:tab w:val="center" w:pos="4153"/>
        <w:tab w:val="right" w:pos="8306"/>
      </w:tabs>
      <w:snapToGrid w:val="0"/>
    </w:pPr>
    <w:rPr>
      <w:sz w:val="18"/>
      <w:szCs w:val="18"/>
    </w:rPr>
  </w:style>
  <w:style w:type="character" w:customStyle="1" w:styleId="Char1">
    <w:name w:val="页脚 Char"/>
    <w:basedOn w:val="a0"/>
    <w:link w:val="a9"/>
    <w:uiPriority w:val="99"/>
    <w:semiHidden/>
    <w:rsid w:val="007C0AE3"/>
    <w:rPr>
      <w:sz w:val="18"/>
      <w:szCs w:val="18"/>
    </w:rPr>
  </w:style>
  <w:style w:type="paragraph" w:customStyle="1" w:styleId="WPSOffice1">
    <w:name w:val="WPSOffice手动目录 1"/>
    <w:qFormat/>
    <w:rsid w:val="007C0AE3"/>
    <w:rPr>
      <w:rFonts w:ascii="Times New Roman" w:eastAsia="宋体" w:hAnsi="Times New Roman"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7678688">
      <w:bodyDiv w:val="1"/>
      <w:marLeft w:val="0"/>
      <w:marRight w:val="0"/>
      <w:marTop w:val="0"/>
      <w:marBottom w:val="0"/>
      <w:divBdr>
        <w:top w:val="none" w:sz="0" w:space="0" w:color="auto"/>
        <w:left w:val="none" w:sz="0" w:space="0" w:color="auto"/>
        <w:bottom w:val="none" w:sz="0" w:space="0" w:color="auto"/>
        <w:right w:val="none" w:sz="0" w:space="0" w:color="auto"/>
      </w:divBdr>
    </w:div>
    <w:div w:id="9534380">
      <w:bodyDiv w:val="1"/>
      <w:marLeft w:val="0"/>
      <w:marRight w:val="0"/>
      <w:marTop w:val="0"/>
      <w:marBottom w:val="0"/>
      <w:divBdr>
        <w:top w:val="none" w:sz="0" w:space="0" w:color="auto"/>
        <w:left w:val="none" w:sz="0" w:space="0" w:color="auto"/>
        <w:bottom w:val="none" w:sz="0" w:space="0" w:color="auto"/>
        <w:right w:val="none" w:sz="0" w:space="0" w:color="auto"/>
      </w:divBdr>
    </w:div>
    <w:div w:id="23332703">
      <w:bodyDiv w:val="1"/>
      <w:marLeft w:val="0"/>
      <w:marRight w:val="0"/>
      <w:marTop w:val="0"/>
      <w:marBottom w:val="0"/>
      <w:divBdr>
        <w:top w:val="none" w:sz="0" w:space="0" w:color="auto"/>
        <w:left w:val="none" w:sz="0" w:space="0" w:color="auto"/>
        <w:bottom w:val="none" w:sz="0" w:space="0" w:color="auto"/>
        <w:right w:val="none" w:sz="0" w:space="0" w:color="auto"/>
      </w:divBdr>
    </w:div>
    <w:div w:id="23674037">
      <w:bodyDiv w:val="1"/>
      <w:marLeft w:val="0"/>
      <w:marRight w:val="0"/>
      <w:marTop w:val="0"/>
      <w:marBottom w:val="0"/>
      <w:divBdr>
        <w:top w:val="none" w:sz="0" w:space="0" w:color="auto"/>
        <w:left w:val="none" w:sz="0" w:space="0" w:color="auto"/>
        <w:bottom w:val="none" w:sz="0" w:space="0" w:color="auto"/>
        <w:right w:val="none" w:sz="0" w:space="0" w:color="auto"/>
      </w:divBdr>
    </w:div>
    <w:div w:id="27679529">
      <w:bodyDiv w:val="1"/>
      <w:marLeft w:val="0"/>
      <w:marRight w:val="0"/>
      <w:marTop w:val="0"/>
      <w:marBottom w:val="0"/>
      <w:divBdr>
        <w:top w:val="none" w:sz="0" w:space="0" w:color="auto"/>
        <w:left w:val="none" w:sz="0" w:space="0" w:color="auto"/>
        <w:bottom w:val="none" w:sz="0" w:space="0" w:color="auto"/>
        <w:right w:val="none" w:sz="0" w:space="0" w:color="auto"/>
      </w:divBdr>
    </w:div>
    <w:div w:id="34426187">
      <w:bodyDiv w:val="1"/>
      <w:marLeft w:val="0"/>
      <w:marRight w:val="0"/>
      <w:marTop w:val="0"/>
      <w:marBottom w:val="0"/>
      <w:divBdr>
        <w:top w:val="none" w:sz="0" w:space="0" w:color="auto"/>
        <w:left w:val="none" w:sz="0" w:space="0" w:color="auto"/>
        <w:bottom w:val="none" w:sz="0" w:space="0" w:color="auto"/>
        <w:right w:val="none" w:sz="0" w:space="0" w:color="auto"/>
      </w:divBdr>
    </w:div>
    <w:div w:id="68356467">
      <w:bodyDiv w:val="1"/>
      <w:marLeft w:val="0"/>
      <w:marRight w:val="0"/>
      <w:marTop w:val="0"/>
      <w:marBottom w:val="0"/>
      <w:divBdr>
        <w:top w:val="none" w:sz="0" w:space="0" w:color="auto"/>
        <w:left w:val="none" w:sz="0" w:space="0" w:color="auto"/>
        <w:bottom w:val="none" w:sz="0" w:space="0" w:color="auto"/>
        <w:right w:val="none" w:sz="0" w:space="0" w:color="auto"/>
      </w:divBdr>
    </w:div>
    <w:div w:id="79453859">
      <w:bodyDiv w:val="1"/>
      <w:marLeft w:val="0"/>
      <w:marRight w:val="0"/>
      <w:marTop w:val="0"/>
      <w:marBottom w:val="0"/>
      <w:divBdr>
        <w:top w:val="none" w:sz="0" w:space="0" w:color="auto"/>
        <w:left w:val="none" w:sz="0" w:space="0" w:color="auto"/>
        <w:bottom w:val="none" w:sz="0" w:space="0" w:color="auto"/>
        <w:right w:val="none" w:sz="0" w:space="0" w:color="auto"/>
      </w:divBdr>
    </w:div>
    <w:div w:id="88158694">
      <w:bodyDiv w:val="1"/>
      <w:marLeft w:val="0"/>
      <w:marRight w:val="0"/>
      <w:marTop w:val="0"/>
      <w:marBottom w:val="0"/>
      <w:divBdr>
        <w:top w:val="none" w:sz="0" w:space="0" w:color="auto"/>
        <w:left w:val="none" w:sz="0" w:space="0" w:color="auto"/>
        <w:bottom w:val="none" w:sz="0" w:space="0" w:color="auto"/>
        <w:right w:val="none" w:sz="0" w:space="0" w:color="auto"/>
      </w:divBdr>
    </w:div>
    <w:div w:id="100345178">
      <w:bodyDiv w:val="1"/>
      <w:marLeft w:val="0"/>
      <w:marRight w:val="0"/>
      <w:marTop w:val="0"/>
      <w:marBottom w:val="0"/>
      <w:divBdr>
        <w:top w:val="none" w:sz="0" w:space="0" w:color="auto"/>
        <w:left w:val="none" w:sz="0" w:space="0" w:color="auto"/>
        <w:bottom w:val="none" w:sz="0" w:space="0" w:color="auto"/>
        <w:right w:val="none" w:sz="0" w:space="0" w:color="auto"/>
      </w:divBdr>
    </w:div>
    <w:div w:id="100538702">
      <w:bodyDiv w:val="1"/>
      <w:marLeft w:val="0"/>
      <w:marRight w:val="0"/>
      <w:marTop w:val="0"/>
      <w:marBottom w:val="0"/>
      <w:divBdr>
        <w:top w:val="none" w:sz="0" w:space="0" w:color="auto"/>
        <w:left w:val="none" w:sz="0" w:space="0" w:color="auto"/>
        <w:bottom w:val="none" w:sz="0" w:space="0" w:color="auto"/>
        <w:right w:val="none" w:sz="0" w:space="0" w:color="auto"/>
      </w:divBdr>
    </w:div>
    <w:div w:id="114369515">
      <w:bodyDiv w:val="1"/>
      <w:marLeft w:val="0"/>
      <w:marRight w:val="0"/>
      <w:marTop w:val="0"/>
      <w:marBottom w:val="0"/>
      <w:divBdr>
        <w:top w:val="none" w:sz="0" w:space="0" w:color="auto"/>
        <w:left w:val="none" w:sz="0" w:space="0" w:color="auto"/>
        <w:bottom w:val="none" w:sz="0" w:space="0" w:color="auto"/>
        <w:right w:val="none" w:sz="0" w:space="0" w:color="auto"/>
      </w:divBdr>
    </w:div>
    <w:div w:id="114914133">
      <w:bodyDiv w:val="1"/>
      <w:marLeft w:val="0"/>
      <w:marRight w:val="0"/>
      <w:marTop w:val="0"/>
      <w:marBottom w:val="0"/>
      <w:divBdr>
        <w:top w:val="none" w:sz="0" w:space="0" w:color="auto"/>
        <w:left w:val="none" w:sz="0" w:space="0" w:color="auto"/>
        <w:bottom w:val="none" w:sz="0" w:space="0" w:color="auto"/>
        <w:right w:val="none" w:sz="0" w:space="0" w:color="auto"/>
      </w:divBdr>
    </w:div>
    <w:div w:id="120925061">
      <w:bodyDiv w:val="1"/>
      <w:marLeft w:val="0"/>
      <w:marRight w:val="0"/>
      <w:marTop w:val="0"/>
      <w:marBottom w:val="0"/>
      <w:divBdr>
        <w:top w:val="none" w:sz="0" w:space="0" w:color="auto"/>
        <w:left w:val="none" w:sz="0" w:space="0" w:color="auto"/>
        <w:bottom w:val="none" w:sz="0" w:space="0" w:color="auto"/>
        <w:right w:val="none" w:sz="0" w:space="0" w:color="auto"/>
      </w:divBdr>
    </w:div>
    <w:div w:id="128521127">
      <w:bodyDiv w:val="1"/>
      <w:marLeft w:val="0"/>
      <w:marRight w:val="0"/>
      <w:marTop w:val="0"/>
      <w:marBottom w:val="0"/>
      <w:divBdr>
        <w:top w:val="none" w:sz="0" w:space="0" w:color="auto"/>
        <w:left w:val="none" w:sz="0" w:space="0" w:color="auto"/>
        <w:bottom w:val="none" w:sz="0" w:space="0" w:color="auto"/>
        <w:right w:val="none" w:sz="0" w:space="0" w:color="auto"/>
      </w:divBdr>
    </w:div>
    <w:div w:id="131749364">
      <w:bodyDiv w:val="1"/>
      <w:marLeft w:val="0"/>
      <w:marRight w:val="0"/>
      <w:marTop w:val="0"/>
      <w:marBottom w:val="0"/>
      <w:divBdr>
        <w:top w:val="none" w:sz="0" w:space="0" w:color="auto"/>
        <w:left w:val="none" w:sz="0" w:space="0" w:color="auto"/>
        <w:bottom w:val="none" w:sz="0" w:space="0" w:color="auto"/>
        <w:right w:val="none" w:sz="0" w:space="0" w:color="auto"/>
      </w:divBdr>
    </w:div>
    <w:div w:id="137184459">
      <w:bodyDiv w:val="1"/>
      <w:marLeft w:val="0"/>
      <w:marRight w:val="0"/>
      <w:marTop w:val="0"/>
      <w:marBottom w:val="0"/>
      <w:divBdr>
        <w:top w:val="none" w:sz="0" w:space="0" w:color="auto"/>
        <w:left w:val="none" w:sz="0" w:space="0" w:color="auto"/>
        <w:bottom w:val="none" w:sz="0" w:space="0" w:color="auto"/>
        <w:right w:val="none" w:sz="0" w:space="0" w:color="auto"/>
      </w:divBdr>
    </w:div>
    <w:div w:id="144007065">
      <w:bodyDiv w:val="1"/>
      <w:marLeft w:val="0"/>
      <w:marRight w:val="0"/>
      <w:marTop w:val="0"/>
      <w:marBottom w:val="0"/>
      <w:divBdr>
        <w:top w:val="none" w:sz="0" w:space="0" w:color="auto"/>
        <w:left w:val="none" w:sz="0" w:space="0" w:color="auto"/>
        <w:bottom w:val="none" w:sz="0" w:space="0" w:color="auto"/>
        <w:right w:val="none" w:sz="0" w:space="0" w:color="auto"/>
      </w:divBdr>
    </w:div>
    <w:div w:id="150875375">
      <w:bodyDiv w:val="1"/>
      <w:marLeft w:val="0"/>
      <w:marRight w:val="0"/>
      <w:marTop w:val="0"/>
      <w:marBottom w:val="0"/>
      <w:divBdr>
        <w:top w:val="none" w:sz="0" w:space="0" w:color="auto"/>
        <w:left w:val="none" w:sz="0" w:space="0" w:color="auto"/>
        <w:bottom w:val="none" w:sz="0" w:space="0" w:color="auto"/>
        <w:right w:val="none" w:sz="0" w:space="0" w:color="auto"/>
      </w:divBdr>
    </w:div>
    <w:div w:id="155272138">
      <w:bodyDiv w:val="1"/>
      <w:marLeft w:val="0"/>
      <w:marRight w:val="0"/>
      <w:marTop w:val="0"/>
      <w:marBottom w:val="0"/>
      <w:divBdr>
        <w:top w:val="none" w:sz="0" w:space="0" w:color="auto"/>
        <w:left w:val="none" w:sz="0" w:space="0" w:color="auto"/>
        <w:bottom w:val="none" w:sz="0" w:space="0" w:color="auto"/>
        <w:right w:val="none" w:sz="0" w:space="0" w:color="auto"/>
      </w:divBdr>
    </w:div>
    <w:div w:id="158889907">
      <w:bodyDiv w:val="1"/>
      <w:marLeft w:val="0"/>
      <w:marRight w:val="0"/>
      <w:marTop w:val="0"/>
      <w:marBottom w:val="0"/>
      <w:divBdr>
        <w:top w:val="none" w:sz="0" w:space="0" w:color="auto"/>
        <w:left w:val="none" w:sz="0" w:space="0" w:color="auto"/>
        <w:bottom w:val="none" w:sz="0" w:space="0" w:color="auto"/>
        <w:right w:val="none" w:sz="0" w:space="0" w:color="auto"/>
      </w:divBdr>
    </w:div>
    <w:div w:id="159277445">
      <w:bodyDiv w:val="1"/>
      <w:marLeft w:val="0"/>
      <w:marRight w:val="0"/>
      <w:marTop w:val="0"/>
      <w:marBottom w:val="0"/>
      <w:divBdr>
        <w:top w:val="none" w:sz="0" w:space="0" w:color="auto"/>
        <w:left w:val="none" w:sz="0" w:space="0" w:color="auto"/>
        <w:bottom w:val="none" w:sz="0" w:space="0" w:color="auto"/>
        <w:right w:val="none" w:sz="0" w:space="0" w:color="auto"/>
      </w:divBdr>
    </w:div>
    <w:div w:id="180357922">
      <w:bodyDiv w:val="1"/>
      <w:marLeft w:val="0"/>
      <w:marRight w:val="0"/>
      <w:marTop w:val="0"/>
      <w:marBottom w:val="0"/>
      <w:divBdr>
        <w:top w:val="none" w:sz="0" w:space="0" w:color="auto"/>
        <w:left w:val="none" w:sz="0" w:space="0" w:color="auto"/>
        <w:bottom w:val="none" w:sz="0" w:space="0" w:color="auto"/>
        <w:right w:val="none" w:sz="0" w:space="0" w:color="auto"/>
      </w:divBdr>
    </w:div>
    <w:div w:id="182287152">
      <w:bodyDiv w:val="1"/>
      <w:marLeft w:val="0"/>
      <w:marRight w:val="0"/>
      <w:marTop w:val="0"/>
      <w:marBottom w:val="0"/>
      <w:divBdr>
        <w:top w:val="none" w:sz="0" w:space="0" w:color="auto"/>
        <w:left w:val="none" w:sz="0" w:space="0" w:color="auto"/>
        <w:bottom w:val="none" w:sz="0" w:space="0" w:color="auto"/>
        <w:right w:val="none" w:sz="0" w:space="0" w:color="auto"/>
      </w:divBdr>
    </w:div>
    <w:div w:id="182328112">
      <w:bodyDiv w:val="1"/>
      <w:marLeft w:val="0"/>
      <w:marRight w:val="0"/>
      <w:marTop w:val="0"/>
      <w:marBottom w:val="0"/>
      <w:divBdr>
        <w:top w:val="none" w:sz="0" w:space="0" w:color="auto"/>
        <w:left w:val="none" w:sz="0" w:space="0" w:color="auto"/>
        <w:bottom w:val="none" w:sz="0" w:space="0" w:color="auto"/>
        <w:right w:val="none" w:sz="0" w:space="0" w:color="auto"/>
      </w:divBdr>
    </w:div>
    <w:div w:id="183718036">
      <w:bodyDiv w:val="1"/>
      <w:marLeft w:val="0"/>
      <w:marRight w:val="0"/>
      <w:marTop w:val="0"/>
      <w:marBottom w:val="0"/>
      <w:divBdr>
        <w:top w:val="none" w:sz="0" w:space="0" w:color="auto"/>
        <w:left w:val="none" w:sz="0" w:space="0" w:color="auto"/>
        <w:bottom w:val="none" w:sz="0" w:space="0" w:color="auto"/>
        <w:right w:val="none" w:sz="0" w:space="0" w:color="auto"/>
      </w:divBdr>
    </w:div>
    <w:div w:id="214125340">
      <w:bodyDiv w:val="1"/>
      <w:marLeft w:val="0"/>
      <w:marRight w:val="0"/>
      <w:marTop w:val="0"/>
      <w:marBottom w:val="0"/>
      <w:divBdr>
        <w:top w:val="none" w:sz="0" w:space="0" w:color="auto"/>
        <w:left w:val="none" w:sz="0" w:space="0" w:color="auto"/>
        <w:bottom w:val="none" w:sz="0" w:space="0" w:color="auto"/>
        <w:right w:val="none" w:sz="0" w:space="0" w:color="auto"/>
      </w:divBdr>
    </w:div>
    <w:div w:id="214439287">
      <w:bodyDiv w:val="1"/>
      <w:marLeft w:val="0"/>
      <w:marRight w:val="0"/>
      <w:marTop w:val="0"/>
      <w:marBottom w:val="0"/>
      <w:divBdr>
        <w:top w:val="none" w:sz="0" w:space="0" w:color="auto"/>
        <w:left w:val="none" w:sz="0" w:space="0" w:color="auto"/>
        <w:bottom w:val="none" w:sz="0" w:space="0" w:color="auto"/>
        <w:right w:val="none" w:sz="0" w:space="0" w:color="auto"/>
      </w:divBdr>
    </w:div>
    <w:div w:id="223302897">
      <w:bodyDiv w:val="1"/>
      <w:marLeft w:val="0"/>
      <w:marRight w:val="0"/>
      <w:marTop w:val="0"/>
      <w:marBottom w:val="0"/>
      <w:divBdr>
        <w:top w:val="none" w:sz="0" w:space="0" w:color="auto"/>
        <w:left w:val="none" w:sz="0" w:space="0" w:color="auto"/>
        <w:bottom w:val="none" w:sz="0" w:space="0" w:color="auto"/>
        <w:right w:val="none" w:sz="0" w:space="0" w:color="auto"/>
      </w:divBdr>
    </w:div>
    <w:div w:id="223956920">
      <w:bodyDiv w:val="1"/>
      <w:marLeft w:val="0"/>
      <w:marRight w:val="0"/>
      <w:marTop w:val="0"/>
      <w:marBottom w:val="0"/>
      <w:divBdr>
        <w:top w:val="none" w:sz="0" w:space="0" w:color="auto"/>
        <w:left w:val="none" w:sz="0" w:space="0" w:color="auto"/>
        <w:bottom w:val="none" w:sz="0" w:space="0" w:color="auto"/>
        <w:right w:val="none" w:sz="0" w:space="0" w:color="auto"/>
      </w:divBdr>
    </w:div>
    <w:div w:id="231621674">
      <w:bodyDiv w:val="1"/>
      <w:marLeft w:val="0"/>
      <w:marRight w:val="0"/>
      <w:marTop w:val="0"/>
      <w:marBottom w:val="0"/>
      <w:divBdr>
        <w:top w:val="none" w:sz="0" w:space="0" w:color="auto"/>
        <w:left w:val="none" w:sz="0" w:space="0" w:color="auto"/>
        <w:bottom w:val="none" w:sz="0" w:space="0" w:color="auto"/>
        <w:right w:val="none" w:sz="0" w:space="0" w:color="auto"/>
      </w:divBdr>
    </w:div>
    <w:div w:id="236672378">
      <w:bodyDiv w:val="1"/>
      <w:marLeft w:val="0"/>
      <w:marRight w:val="0"/>
      <w:marTop w:val="0"/>
      <w:marBottom w:val="0"/>
      <w:divBdr>
        <w:top w:val="none" w:sz="0" w:space="0" w:color="auto"/>
        <w:left w:val="none" w:sz="0" w:space="0" w:color="auto"/>
        <w:bottom w:val="none" w:sz="0" w:space="0" w:color="auto"/>
        <w:right w:val="none" w:sz="0" w:space="0" w:color="auto"/>
      </w:divBdr>
    </w:div>
    <w:div w:id="244732735">
      <w:bodyDiv w:val="1"/>
      <w:marLeft w:val="0"/>
      <w:marRight w:val="0"/>
      <w:marTop w:val="0"/>
      <w:marBottom w:val="0"/>
      <w:divBdr>
        <w:top w:val="none" w:sz="0" w:space="0" w:color="auto"/>
        <w:left w:val="none" w:sz="0" w:space="0" w:color="auto"/>
        <w:bottom w:val="none" w:sz="0" w:space="0" w:color="auto"/>
        <w:right w:val="none" w:sz="0" w:space="0" w:color="auto"/>
      </w:divBdr>
    </w:div>
    <w:div w:id="255791821">
      <w:bodyDiv w:val="1"/>
      <w:marLeft w:val="0"/>
      <w:marRight w:val="0"/>
      <w:marTop w:val="0"/>
      <w:marBottom w:val="0"/>
      <w:divBdr>
        <w:top w:val="none" w:sz="0" w:space="0" w:color="auto"/>
        <w:left w:val="none" w:sz="0" w:space="0" w:color="auto"/>
        <w:bottom w:val="none" w:sz="0" w:space="0" w:color="auto"/>
        <w:right w:val="none" w:sz="0" w:space="0" w:color="auto"/>
      </w:divBdr>
    </w:div>
    <w:div w:id="258300677">
      <w:bodyDiv w:val="1"/>
      <w:marLeft w:val="0"/>
      <w:marRight w:val="0"/>
      <w:marTop w:val="0"/>
      <w:marBottom w:val="0"/>
      <w:divBdr>
        <w:top w:val="none" w:sz="0" w:space="0" w:color="auto"/>
        <w:left w:val="none" w:sz="0" w:space="0" w:color="auto"/>
        <w:bottom w:val="none" w:sz="0" w:space="0" w:color="auto"/>
        <w:right w:val="none" w:sz="0" w:space="0" w:color="auto"/>
      </w:divBdr>
    </w:div>
    <w:div w:id="266817481">
      <w:bodyDiv w:val="1"/>
      <w:marLeft w:val="0"/>
      <w:marRight w:val="0"/>
      <w:marTop w:val="0"/>
      <w:marBottom w:val="0"/>
      <w:divBdr>
        <w:top w:val="none" w:sz="0" w:space="0" w:color="auto"/>
        <w:left w:val="none" w:sz="0" w:space="0" w:color="auto"/>
        <w:bottom w:val="none" w:sz="0" w:space="0" w:color="auto"/>
        <w:right w:val="none" w:sz="0" w:space="0" w:color="auto"/>
      </w:divBdr>
    </w:div>
    <w:div w:id="269557691">
      <w:bodyDiv w:val="1"/>
      <w:marLeft w:val="0"/>
      <w:marRight w:val="0"/>
      <w:marTop w:val="0"/>
      <w:marBottom w:val="0"/>
      <w:divBdr>
        <w:top w:val="none" w:sz="0" w:space="0" w:color="auto"/>
        <w:left w:val="none" w:sz="0" w:space="0" w:color="auto"/>
        <w:bottom w:val="none" w:sz="0" w:space="0" w:color="auto"/>
        <w:right w:val="none" w:sz="0" w:space="0" w:color="auto"/>
      </w:divBdr>
    </w:div>
    <w:div w:id="274292144">
      <w:bodyDiv w:val="1"/>
      <w:marLeft w:val="0"/>
      <w:marRight w:val="0"/>
      <w:marTop w:val="0"/>
      <w:marBottom w:val="0"/>
      <w:divBdr>
        <w:top w:val="none" w:sz="0" w:space="0" w:color="auto"/>
        <w:left w:val="none" w:sz="0" w:space="0" w:color="auto"/>
        <w:bottom w:val="none" w:sz="0" w:space="0" w:color="auto"/>
        <w:right w:val="none" w:sz="0" w:space="0" w:color="auto"/>
      </w:divBdr>
    </w:div>
    <w:div w:id="279917198">
      <w:bodyDiv w:val="1"/>
      <w:marLeft w:val="0"/>
      <w:marRight w:val="0"/>
      <w:marTop w:val="0"/>
      <w:marBottom w:val="0"/>
      <w:divBdr>
        <w:top w:val="none" w:sz="0" w:space="0" w:color="auto"/>
        <w:left w:val="none" w:sz="0" w:space="0" w:color="auto"/>
        <w:bottom w:val="none" w:sz="0" w:space="0" w:color="auto"/>
        <w:right w:val="none" w:sz="0" w:space="0" w:color="auto"/>
      </w:divBdr>
    </w:div>
    <w:div w:id="281229833">
      <w:bodyDiv w:val="1"/>
      <w:marLeft w:val="0"/>
      <w:marRight w:val="0"/>
      <w:marTop w:val="0"/>
      <w:marBottom w:val="0"/>
      <w:divBdr>
        <w:top w:val="none" w:sz="0" w:space="0" w:color="auto"/>
        <w:left w:val="none" w:sz="0" w:space="0" w:color="auto"/>
        <w:bottom w:val="none" w:sz="0" w:space="0" w:color="auto"/>
        <w:right w:val="none" w:sz="0" w:space="0" w:color="auto"/>
      </w:divBdr>
    </w:div>
    <w:div w:id="282883490">
      <w:bodyDiv w:val="1"/>
      <w:marLeft w:val="0"/>
      <w:marRight w:val="0"/>
      <w:marTop w:val="0"/>
      <w:marBottom w:val="0"/>
      <w:divBdr>
        <w:top w:val="none" w:sz="0" w:space="0" w:color="auto"/>
        <w:left w:val="none" w:sz="0" w:space="0" w:color="auto"/>
        <w:bottom w:val="none" w:sz="0" w:space="0" w:color="auto"/>
        <w:right w:val="none" w:sz="0" w:space="0" w:color="auto"/>
      </w:divBdr>
    </w:div>
    <w:div w:id="283465883">
      <w:bodyDiv w:val="1"/>
      <w:marLeft w:val="0"/>
      <w:marRight w:val="0"/>
      <w:marTop w:val="0"/>
      <w:marBottom w:val="0"/>
      <w:divBdr>
        <w:top w:val="none" w:sz="0" w:space="0" w:color="auto"/>
        <w:left w:val="none" w:sz="0" w:space="0" w:color="auto"/>
        <w:bottom w:val="none" w:sz="0" w:space="0" w:color="auto"/>
        <w:right w:val="none" w:sz="0" w:space="0" w:color="auto"/>
      </w:divBdr>
    </w:div>
    <w:div w:id="291832344">
      <w:bodyDiv w:val="1"/>
      <w:marLeft w:val="0"/>
      <w:marRight w:val="0"/>
      <w:marTop w:val="0"/>
      <w:marBottom w:val="0"/>
      <w:divBdr>
        <w:top w:val="none" w:sz="0" w:space="0" w:color="auto"/>
        <w:left w:val="none" w:sz="0" w:space="0" w:color="auto"/>
        <w:bottom w:val="none" w:sz="0" w:space="0" w:color="auto"/>
        <w:right w:val="none" w:sz="0" w:space="0" w:color="auto"/>
      </w:divBdr>
    </w:div>
    <w:div w:id="300159794">
      <w:bodyDiv w:val="1"/>
      <w:marLeft w:val="0"/>
      <w:marRight w:val="0"/>
      <w:marTop w:val="0"/>
      <w:marBottom w:val="0"/>
      <w:divBdr>
        <w:top w:val="none" w:sz="0" w:space="0" w:color="auto"/>
        <w:left w:val="none" w:sz="0" w:space="0" w:color="auto"/>
        <w:bottom w:val="none" w:sz="0" w:space="0" w:color="auto"/>
        <w:right w:val="none" w:sz="0" w:space="0" w:color="auto"/>
      </w:divBdr>
    </w:div>
    <w:div w:id="306009274">
      <w:bodyDiv w:val="1"/>
      <w:marLeft w:val="0"/>
      <w:marRight w:val="0"/>
      <w:marTop w:val="0"/>
      <w:marBottom w:val="0"/>
      <w:divBdr>
        <w:top w:val="none" w:sz="0" w:space="0" w:color="auto"/>
        <w:left w:val="none" w:sz="0" w:space="0" w:color="auto"/>
        <w:bottom w:val="none" w:sz="0" w:space="0" w:color="auto"/>
        <w:right w:val="none" w:sz="0" w:space="0" w:color="auto"/>
      </w:divBdr>
    </w:div>
    <w:div w:id="306663501">
      <w:bodyDiv w:val="1"/>
      <w:marLeft w:val="0"/>
      <w:marRight w:val="0"/>
      <w:marTop w:val="0"/>
      <w:marBottom w:val="0"/>
      <w:divBdr>
        <w:top w:val="none" w:sz="0" w:space="0" w:color="auto"/>
        <w:left w:val="none" w:sz="0" w:space="0" w:color="auto"/>
        <w:bottom w:val="none" w:sz="0" w:space="0" w:color="auto"/>
        <w:right w:val="none" w:sz="0" w:space="0" w:color="auto"/>
      </w:divBdr>
    </w:div>
    <w:div w:id="315454326">
      <w:bodyDiv w:val="1"/>
      <w:marLeft w:val="0"/>
      <w:marRight w:val="0"/>
      <w:marTop w:val="0"/>
      <w:marBottom w:val="0"/>
      <w:divBdr>
        <w:top w:val="none" w:sz="0" w:space="0" w:color="auto"/>
        <w:left w:val="none" w:sz="0" w:space="0" w:color="auto"/>
        <w:bottom w:val="none" w:sz="0" w:space="0" w:color="auto"/>
        <w:right w:val="none" w:sz="0" w:space="0" w:color="auto"/>
      </w:divBdr>
    </w:div>
    <w:div w:id="322121406">
      <w:bodyDiv w:val="1"/>
      <w:marLeft w:val="0"/>
      <w:marRight w:val="0"/>
      <w:marTop w:val="0"/>
      <w:marBottom w:val="0"/>
      <w:divBdr>
        <w:top w:val="none" w:sz="0" w:space="0" w:color="auto"/>
        <w:left w:val="none" w:sz="0" w:space="0" w:color="auto"/>
        <w:bottom w:val="none" w:sz="0" w:space="0" w:color="auto"/>
        <w:right w:val="none" w:sz="0" w:space="0" w:color="auto"/>
      </w:divBdr>
    </w:div>
    <w:div w:id="323896392">
      <w:bodyDiv w:val="1"/>
      <w:marLeft w:val="0"/>
      <w:marRight w:val="0"/>
      <w:marTop w:val="0"/>
      <w:marBottom w:val="0"/>
      <w:divBdr>
        <w:top w:val="none" w:sz="0" w:space="0" w:color="auto"/>
        <w:left w:val="none" w:sz="0" w:space="0" w:color="auto"/>
        <w:bottom w:val="none" w:sz="0" w:space="0" w:color="auto"/>
        <w:right w:val="none" w:sz="0" w:space="0" w:color="auto"/>
      </w:divBdr>
    </w:div>
    <w:div w:id="325477118">
      <w:bodyDiv w:val="1"/>
      <w:marLeft w:val="0"/>
      <w:marRight w:val="0"/>
      <w:marTop w:val="0"/>
      <w:marBottom w:val="0"/>
      <w:divBdr>
        <w:top w:val="none" w:sz="0" w:space="0" w:color="auto"/>
        <w:left w:val="none" w:sz="0" w:space="0" w:color="auto"/>
        <w:bottom w:val="none" w:sz="0" w:space="0" w:color="auto"/>
        <w:right w:val="none" w:sz="0" w:space="0" w:color="auto"/>
      </w:divBdr>
    </w:div>
    <w:div w:id="335376996">
      <w:bodyDiv w:val="1"/>
      <w:marLeft w:val="0"/>
      <w:marRight w:val="0"/>
      <w:marTop w:val="0"/>
      <w:marBottom w:val="0"/>
      <w:divBdr>
        <w:top w:val="none" w:sz="0" w:space="0" w:color="auto"/>
        <w:left w:val="none" w:sz="0" w:space="0" w:color="auto"/>
        <w:bottom w:val="none" w:sz="0" w:space="0" w:color="auto"/>
        <w:right w:val="none" w:sz="0" w:space="0" w:color="auto"/>
      </w:divBdr>
    </w:div>
    <w:div w:id="345328688">
      <w:bodyDiv w:val="1"/>
      <w:marLeft w:val="0"/>
      <w:marRight w:val="0"/>
      <w:marTop w:val="0"/>
      <w:marBottom w:val="0"/>
      <w:divBdr>
        <w:top w:val="none" w:sz="0" w:space="0" w:color="auto"/>
        <w:left w:val="none" w:sz="0" w:space="0" w:color="auto"/>
        <w:bottom w:val="none" w:sz="0" w:space="0" w:color="auto"/>
        <w:right w:val="none" w:sz="0" w:space="0" w:color="auto"/>
      </w:divBdr>
    </w:div>
    <w:div w:id="353574441">
      <w:bodyDiv w:val="1"/>
      <w:marLeft w:val="0"/>
      <w:marRight w:val="0"/>
      <w:marTop w:val="0"/>
      <w:marBottom w:val="0"/>
      <w:divBdr>
        <w:top w:val="none" w:sz="0" w:space="0" w:color="auto"/>
        <w:left w:val="none" w:sz="0" w:space="0" w:color="auto"/>
        <w:bottom w:val="none" w:sz="0" w:space="0" w:color="auto"/>
        <w:right w:val="none" w:sz="0" w:space="0" w:color="auto"/>
      </w:divBdr>
    </w:div>
    <w:div w:id="356202257">
      <w:bodyDiv w:val="1"/>
      <w:marLeft w:val="0"/>
      <w:marRight w:val="0"/>
      <w:marTop w:val="0"/>
      <w:marBottom w:val="0"/>
      <w:divBdr>
        <w:top w:val="none" w:sz="0" w:space="0" w:color="auto"/>
        <w:left w:val="none" w:sz="0" w:space="0" w:color="auto"/>
        <w:bottom w:val="none" w:sz="0" w:space="0" w:color="auto"/>
        <w:right w:val="none" w:sz="0" w:space="0" w:color="auto"/>
      </w:divBdr>
    </w:div>
    <w:div w:id="358629343">
      <w:bodyDiv w:val="1"/>
      <w:marLeft w:val="0"/>
      <w:marRight w:val="0"/>
      <w:marTop w:val="0"/>
      <w:marBottom w:val="0"/>
      <w:divBdr>
        <w:top w:val="none" w:sz="0" w:space="0" w:color="auto"/>
        <w:left w:val="none" w:sz="0" w:space="0" w:color="auto"/>
        <w:bottom w:val="none" w:sz="0" w:space="0" w:color="auto"/>
        <w:right w:val="none" w:sz="0" w:space="0" w:color="auto"/>
      </w:divBdr>
    </w:div>
    <w:div w:id="360129259">
      <w:bodyDiv w:val="1"/>
      <w:marLeft w:val="0"/>
      <w:marRight w:val="0"/>
      <w:marTop w:val="0"/>
      <w:marBottom w:val="0"/>
      <w:divBdr>
        <w:top w:val="none" w:sz="0" w:space="0" w:color="auto"/>
        <w:left w:val="none" w:sz="0" w:space="0" w:color="auto"/>
        <w:bottom w:val="none" w:sz="0" w:space="0" w:color="auto"/>
        <w:right w:val="none" w:sz="0" w:space="0" w:color="auto"/>
      </w:divBdr>
    </w:div>
    <w:div w:id="368989416">
      <w:bodyDiv w:val="1"/>
      <w:marLeft w:val="0"/>
      <w:marRight w:val="0"/>
      <w:marTop w:val="0"/>
      <w:marBottom w:val="0"/>
      <w:divBdr>
        <w:top w:val="none" w:sz="0" w:space="0" w:color="auto"/>
        <w:left w:val="none" w:sz="0" w:space="0" w:color="auto"/>
        <w:bottom w:val="none" w:sz="0" w:space="0" w:color="auto"/>
        <w:right w:val="none" w:sz="0" w:space="0" w:color="auto"/>
      </w:divBdr>
    </w:div>
    <w:div w:id="379138975">
      <w:bodyDiv w:val="1"/>
      <w:marLeft w:val="0"/>
      <w:marRight w:val="0"/>
      <w:marTop w:val="0"/>
      <w:marBottom w:val="0"/>
      <w:divBdr>
        <w:top w:val="none" w:sz="0" w:space="0" w:color="auto"/>
        <w:left w:val="none" w:sz="0" w:space="0" w:color="auto"/>
        <w:bottom w:val="none" w:sz="0" w:space="0" w:color="auto"/>
        <w:right w:val="none" w:sz="0" w:space="0" w:color="auto"/>
      </w:divBdr>
    </w:div>
    <w:div w:id="386733226">
      <w:bodyDiv w:val="1"/>
      <w:marLeft w:val="0"/>
      <w:marRight w:val="0"/>
      <w:marTop w:val="0"/>
      <w:marBottom w:val="0"/>
      <w:divBdr>
        <w:top w:val="none" w:sz="0" w:space="0" w:color="auto"/>
        <w:left w:val="none" w:sz="0" w:space="0" w:color="auto"/>
        <w:bottom w:val="none" w:sz="0" w:space="0" w:color="auto"/>
        <w:right w:val="none" w:sz="0" w:space="0" w:color="auto"/>
      </w:divBdr>
    </w:div>
    <w:div w:id="397174852">
      <w:bodyDiv w:val="1"/>
      <w:marLeft w:val="0"/>
      <w:marRight w:val="0"/>
      <w:marTop w:val="0"/>
      <w:marBottom w:val="0"/>
      <w:divBdr>
        <w:top w:val="none" w:sz="0" w:space="0" w:color="auto"/>
        <w:left w:val="none" w:sz="0" w:space="0" w:color="auto"/>
        <w:bottom w:val="none" w:sz="0" w:space="0" w:color="auto"/>
        <w:right w:val="none" w:sz="0" w:space="0" w:color="auto"/>
      </w:divBdr>
    </w:div>
    <w:div w:id="400369004">
      <w:bodyDiv w:val="1"/>
      <w:marLeft w:val="0"/>
      <w:marRight w:val="0"/>
      <w:marTop w:val="0"/>
      <w:marBottom w:val="0"/>
      <w:divBdr>
        <w:top w:val="none" w:sz="0" w:space="0" w:color="auto"/>
        <w:left w:val="none" w:sz="0" w:space="0" w:color="auto"/>
        <w:bottom w:val="none" w:sz="0" w:space="0" w:color="auto"/>
        <w:right w:val="none" w:sz="0" w:space="0" w:color="auto"/>
      </w:divBdr>
    </w:div>
    <w:div w:id="404574787">
      <w:bodyDiv w:val="1"/>
      <w:marLeft w:val="0"/>
      <w:marRight w:val="0"/>
      <w:marTop w:val="0"/>
      <w:marBottom w:val="0"/>
      <w:divBdr>
        <w:top w:val="none" w:sz="0" w:space="0" w:color="auto"/>
        <w:left w:val="none" w:sz="0" w:space="0" w:color="auto"/>
        <w:bottom w:val="none" w:sz="0" w:space="0" w:color="auto"/>
        <w:right w:val="none" w:sz="0" w:space="0" w:color="auto"/>
      </w:divBdr>
    </w:div>
    <w:div w:id="413940772">
      <w:bodyDiv w:val="1"/>
      <w:marLeft w:val="0"/>
      <w:marRight w:val="0"/>
      <w:marTop w:val="0"/>
      <w:marBottom w:val="0"/>
      <w:divBdr>
        <w:top w:val="none" w:sz="0" w:space="0" w:color="auto"/>
        <w:left w:val="none" w:sz="0" w:space="0" w:color="auto"/>
        <w:bottom w:val="none" w:sz="0" w:space="0" w:color="auto"/>
        <w:right w:val="none" w:sz="0" w:space="0" w:color="auto"/>
      </w:divBdr>
    </w:div>
    <w:div w:id="416632724">
      <w:bodyDiv w:val="1"/>
      <w:marLeft w:val="0"/>
      <w:marRight w:val="0"/>
      <w:marTop w:val="0"/>
      <w:marBottom w:val="0"/>
      <w:divBdr>
        <w:top w:val="none" w:sz="0" w:space="0" w:color="auto"/>
        <w:left w:val="none" w:sz="0" w:space="0" w:color="auto"/>
        <w:bottom w:val="none" w:sz="0" w:space="0" w:color="auto"/>
        <w:right w:val="none" w:sz="0" w:space="0" w:color="auto"/>
      </w:divBdr>
    </w:div>
    <w:div w:id="428237918">
      <w:bodyDiv w:val="1"/>
      <w:marLeft w:val="0"/>
      <w:marRight w:val="0"/>
      <w:marTop w:val="0"/>
      <w:marBottom w:val="0"/>
      <w:divBdr>
        <w:top w:val="none" w:sz="0" w:space="0" w:color="auto"/>
        <w:left w:val="none" w:sz="0" w:space="0" w:color="auto"/>
        <w:bottom w:val="none" w:sz="0" w:space="0" w:color="auto"/>
        <w:right w:val="none" w:sz="0" w:space="0" w:color="auto"/>
      </w:divBdr>
    </w:div>
    <w:div w:id="442118686">
      <w:bodyDiv w:val="1"/>
      <w:marLeft w:val="0"/>
      <w:marRight w:val="0"/>
      <w:marTop w:val="0"/>
      <w:marBottom w:val="0"/>
      <w:divBdr>
        <w:top w:val="none" w:sz="0" w:space="0" w:color="auto"/>
        <w:left w:val="none" w:sz="0" w:space="0" w:color="auto"/>
        <w:bottom w:val="none" w:sz="0" w:space="0" w:color="auto"/>
        <w:right w:val="none" w:sz="0" w:space="0" w:color="auto"/>
      </w:divBdr>
    </w:div>
    <w:div w:id="459883043">
      <w:bodyDiv w:val="1"/>
      <w:marLeft w:val="0"/>
      <w:marRight w:val="0"/>
      <w:marTop w:val="0"/>
      <w:marBottom w:val="0"/>
      <w:divBdr>
        <w:top w:val="none" w:sz="0" w:space="0" w:color="auto"/>
        <w:left w:val="none" w:sz="0" w:space="0" w:color="auto"/>
        <w:bottom w:val="none" w:sz="0" w:space="0" w:color="auto"/>
        <w:right w:val="none" w:sz="0" w:space="0" w:color="auto"/>
      </w:divBdr>
    </w:div>
    <w:div w:id="461118237">
      <w:bodyDiv w:val="1"/>
      <w:marLeft w:val="0"/>
      <w:marRight w:val="0"/>
      <w:marTop w:val="0"/>
      <w:marBottom w:val="0"/>
      <w:divBdr>
        <w:top w:val="none" w:sz="0" w:space="0" w:color="auto"/>
        <w:left w:val="none" w:sz="0" w:space="0" w:color="auto"/>
        <w:bottom w:val="none" w:sz="0" w:space="0" w:color="auto"/>
        <w:right w:val="none" w:sz="0" w:space="0" w:color="auto"/>
      </w:divBdr>
    </w:div>
    <w:div w:id="462312607">
      <w:bodyDiv w:val="1"/>
      <w:marLeft w:val="0"/>
      <w:marRight w:val="0"/>
      <w:marTop w:val="0"/>
      <w:marBottom w:val="0"/>
      <w:divBdr>
        <w:top w:val="none" w:sz="0" w:space="0" w:color="auto"/>
        <w:left w:val="none" w:sz="0" w:space="0" w:color="auto"/>
        <w:bottom w:val="none" w:sz="0" w:space="0" w:color="auto"/>
        <w:right w:val="none" w:sz="0" w:space="0" w:color="auto"/>
      </w:divBdr>
    </w:div>
    <w:div w:id="463079821">
      <w:bodyDiv w:val="1"/>
      <w:marLeft w:val="0"/>
      <w:marRight w:val="0"/>
      <w:marTop w:val="0"/>
      <w:marBottom w:val="0"/>
      <w:divBdr>
        <w:top w:val="none" w:sz="0" w:space="0" w:color="auto"/>
        <w:left w:val="none" w:sz="0" w:space="0" w:color="auto"/>
        <w:bottom w:val="none" w:sz="0" w:space="0" w:color="auto"/>
        <w:right w:val="none" w:sz="0" w:space="0" w:color="auto"/>
      </w:divBdr>
    </w:div>
    <w:div w:id="463425008">
      <w:bodyDiv w:val="1"/>
      <w:marLeft w:val="0"/>
      <w:marRight w:val="0"/>
      <w:marTop w:val="0"/>
      <w:marBottom w:val="0"/>
      <w:divBdr>
        <w:top w:val="none" w:sz="0" w:space="0" w:color="auto"/>
        <w:left w:val="none" w:sz="0" w:space="0" w:color="auto"/>
        <w:bottom w:val="none" w:sz="0" w:space="0" w:color="auto"/>
        <w:right w:val="none" w:sz="0" w:space="0" w:color="auto"/>
      </w:divBdr>
    </w:div>
    <w:div w:id="470513290">
      <w:bodyDiv w:val="1"/>
      <w:marLeft w:val="0"/>
      <w:marRight w:val="0"/>
      <w:marTop w:val="0"/>
      <w:marBottom w:val="0"/>
      <w:divBdr>
        <w:top w:val="none" w:sz="0" w:space="0" w:color="auto"/>
        <w:left w:val="none" w:sz="0" w:space="0" w:color="auto"/>
        <w:bottom w:val="none" w:sz="0" w:space="0" w:color="auto"/>
        <w:right w:val="none" w:sz="0" w:space="0" w:color="auto"/>
      </w:divBdr>
    </w:div>
    <w:div w:id="481585858">
      <w:bodyDiv w:val="1"/>
      <w:marLeft w:val="0"/>
      <w:marRight w:val="0"/>
      <w:marTop w:val="0"/>
      <w:marBottom w:val="0"/>
      <w:divBdr>
        <w:top w:val="none" w:sz="0" w:space="0" w:color="auto"/>
        <w:left w:val="none" w:sz="0" w:space="0" w:color="auto"/>
        <w:bottom w:val="none" w:sz="0" w:space="0" w:color="auto"/>
        <w:right w:val="none" w:sz="0" w:space="0" w:color="auto"/>
      </w:divBdr>
    </w:div>
    <w:div w:id="503933020">
      <w:bodyDiv w:val="1"/>
      <w:marLeft w:val="0"/>
      <w:marRight w:val="0"/>
      <w:marTop w:val="0"/>
      <w:marBottom w:val="0"/>
      <w:divBdr>
        <w:top w:val="none" w:sz="0" w:space="0" w:color="auto"/>
        <w:left w:val="none" w:sz="0" w:space="0" w:color="auto"/>
        <w:bottom w:val="none" w:sz="0" w:space="0" w:color="auto"/>
        <w:right w:val="none" w:sz="0" w:space="0" w:color="auto"/>
      </w:divBdr>
    </w:div>
    <w:div w:id="504974932">
      <w:bodyDiv w:val="1"/>
      <w:marLeft w:val="0"/>
      <w:marRight w:val="0"/>
      <w:marTop w:val="0"/>
      <w:marBottom w:val="0"/>
      <w:divBdr>
        <w:top w:val="none" w:sz="0" w:space="0" w:color="auto"/>
        <w:left w:val="none" w:sz="0" w:space="0" w:color="auto"/>
        <w:bottom w:val="none" w:sz="0" w:space="0" w:color="auto"/>
        <w:right w:val="none" w:sz="0" w:space="0" w:color="auto"/>
      </w:divBdr>
    </w:div>
    <w:div w:id="514655497">
      <w:bodyDiv w:val="1"/>
      <w:marLeft w:val="0"/>
      <w:marRight w:val="0"/>
      <w:marTop w:val="0"/>
      <w:marBottom w:val="0"/>
      <w:divBdr>
        <w:top w:val="none" w:sz="0" w:space="0" w:color="auto"/>
        <w:left w:val="none" w:sz="0" w:space="0" w:color="auto"/>
        <w:bottom w:val="none" w:sz="0" w:space="0" w:color="auto"/>
        <w:right w:val="none" w:sz="0" w:space="0" w:color="auto"/>
      </w:divBdr>
    </w:div>
    <w:div w:id="516769148">
      <w:bodyDiv w:val="1"/>
      <w:marLeft w:val="0"/>
      <w:marRight w:val="0"/>
      <w:marTop w:val="0"/>
      <w:marBottom w:val="0"/>
      <w:divBdr>
        <w:top w:val="none" w:sz="0" w:space="0" w:color="auto"/>
        <w:left w:val="none" w:sz="0" w:space="0" w:color="auto"/>
        <w:bottom w:val="none" w:sz="0" w:space="0" w:color="auto"/>
        <w:right w:val="none" w:sz="0" w:space="0" w:color="auto"/>
      </w:divBdr>
    </w:div>
    <w:div w:id="523174466">
      <w:bodyDiv w:val="1"/>
      <w:marLeft w:val="0"/>
      <w:marRight w:val="0"/>
      <w:marTop w:val="0"/>
      <w:marBottom w:val="0"/>
      <w:divBdr>
        <w:top w:val="none" w:sz="0" w:space="0" w:color="auto"/>
        <w:left w:val="none" w:sz="0" w:space="0" w:color="auto"/>
        <w:bottom w:val="none" w:sz="0" w:space="0" w:color="auto"/>
        <w:right w:val="none" w:sz="0" w:space="0" w:color="auto"/>
      </w:divBdr>
    </w:div>
    <w:div w:id="523519093">
      <w:bodyDiv w:val="1"/>
      <w:marLeft w:val="0"/>
      <w:marRight w:val="0"/>
      <w:marTop w:val="0"/>
      <w:marBottom w:val="0"/>
      <w:divBdr>
        <w:top w:val="none" w:sz="0" w:space="0" w:color="auto"/>
        <w:left w:val="none" w:sz="0" w:space="0" w:color="auto"/>
        <w:bottom w:val="none" w:sz="0" w:space="0" w:color="auto"/>
        <w:right w:val="none" w:sz="0" w:space="0" w:color="auto"/>
      </w:divBdr>
    </w:div>
    <w:div w:id="529103441">
      <w:bodyDiv w:val="1"/>
      <w:marLeft w:val="0"/>
      <w:marRight w:val="0"/>
      <w:marTop w:val="0"/>
      <w:marBottom w:val="0"/>
      <w:divBdr>
        <w:top w:val="none" w:sz="0" w:space="0" w:color="auto"/>
        <w:left w:val="none" w:sz="0" w:space="0" w:color="auto"/>
        <w:bottom w:val="none" w:sz="0" w:space="0" w:color="auto"/>
        <w:right w:val="none" w:sz="0" w:space="0" w:color="auto"/>
      </w:divBdr>
    </w:div>
    <w:div w:id="539636497">
      <w:bodyDiv w:val="1"/>
      <w:marLeft w:val="0"/>
      <w:marRight w:val="0"/>
      <w:marTop w:val="0"/>
      <w:marBottom w:val="0"/>
      <w:divBdr>
        <w:top w:val="none" w:sz="0" w:space="0" w:color="auto"/>
        <w:left w:val="none" w:sz="0" w:space="0" w:color="auto"/>
        <w:bottom w:val="none" w:sz="0" w:space="0" w:color="auto"/>
        <w:right w:val="none" w:sz="0" w:space="0" w:color="auto"/>
      </w:divBdr>
    </w:div>
    <w:div w:id="544408779">
      <w:bodyDiv w:val="1"/>
      <w:marLeft w:val="0"/>
      <w:marRight w:val="0"/>
      <w:marTop w:val="0"/>
      <w:marBottom w:val="0"/>
      <w:divBdr>
        <w:top w:val="none" w:sz="0" w:space="0" w:color="auto"/>
        <w:left w:val="none" w:sz="0" w:space="0" w:color="auto"/>
        <w:bottom w:val="none" w:sz="0" w:space="0" w:color="auto"/>
        <w:right w:val="none" w:sz="0" w:space="0" w:color="auto"/>
      </w:divBdr>
    </w:div>
    <w:div w:id="547301943">
      <w:bodyDiv w:val="1"/>
      <w:marLeft w:val="0"/>
      <w:marRight w:val="0"/>
      <w:marTop w:val="0"/>
      <w:marBottom w:val="0"/>
      <w:divBdr>
        <w:top w:val="none" w:sz="0" w:space="0" w:color="auto"/>
        <w:left w:val="none" w:sz="0" w:space="0" w:color="auto"/>
        <w:bottom w:val="none" w:sz="0" w:space="0" w:color="auto"/>
        <w:right w:val="none" w:sz="0" w:space="0" w:color="auto"/>
      </w:divBdr>
    </w:div>
    <w:div w:id="549390532">
      <w:bodyDiv w:val="1"/>
      <w:marLeft w:val="0"/>
      <w:marRight w:val="0"/>
      <w:marTop w:val="0"/>
      <w:marBottom w:val="0"/>
      <w:divBdr>
        <w:top w:val="none" w:sz="0" w:space="0" w:color="auto"/>
        <w:left w:val="none" w:sz="0" w:space="0" w:color="auto"/>
        <w:bottom w:val="none" w:sz="0" w:space="0" w:color="auto"/>
        <w:right w:val="none" w:sz="0" w:space="0" w:color="auto"/>
      </w:divBdr>
    </w:div>
    <w:div w:id="551580713">
      <w:bodyDiv w:val="1"/>
      <w:marLeft w:val="0"/>
      <w:marRight w:val="0"/>
      <w:marTop w:val="0"/>
      <w:marBottom w:val="0"/>
      <w:divBdr>
        <w:top w:val="none" w:sz="0" w:space="0" w:color="auto"/>
        <w:left w:val="none" w:sz="0" w:space="0" w:color="auto"/>
        <w:bottom w:val="none" w:sz="0" w:space="0" w:color="auto"/>
        <w:right w:val="none" w:sz="0" w:space="0" w:color="auto"/>
      </w:divBdr>
    </w:div>
    <w:div w:id="552929641">
      <w:bodyDiv w:val="1"/>
      <w:marLeft w:val="0"/>
      <w:marRight w:val="0"/>
      <w:marTop w:val="0"/>
      <w:marBottom w:val="0"/>
      <w:divBdr>
        <w:top w:val="none" w:sz="0" w:space="0" w:color="auto"/>
        <w:left w:val="none" w:sz="0" w:space="0" w:color="auto"/>
        <w:bottom w:val="none" w:sz="0" w:space="0" w:color="auto"/>
        <w:right w:val="none" w:sz="0" w:space="0" w:color="auto"/>
      </w:divBdr>
    </w:div>
    <w:div w:id="557785772">
      <w:bodyDiv w:val="1"/>
      <w:marLeft w:val="0"/>
      <w:marRight w:val="0"/>
      <w:marTop w:val="0"/>
      <w:marBottom w:val="0"/>
      <w:divBdr>
        <w:top w:val="none" w:sz="0" w:space="0" w:color="auto"/>
        <w:left w:val="none" w:sz="0" w:space="0" w:color="auto"/>
        <w:bottom w:val="none" w:sz="0" w:space="0" w:color="auto"/>
        <w:right w:val="none" w:sz="0" w:space="0" w:color="auto"/>
      </w:divBdr>
    </w:div>
    <w:div w:id="569340774">
      <w:bodyDiv w:val="1"/>
      <w:marLeft w:val="0"/>
      <w:marRight w:val="0"/>
      <w:marTop w:val="0"/>
      <w:marBottom w:val="0"/>
      <w:divBdr>
        <w:top w:val="none" w:sz="0" w:space="0" w:color="auto"/>
        <w:left w:val="none" w:sz="0" w:space="0" w:color="auto"/>
        <w:bottom w:val="none" w:sz="0" w:space="0" w:color="auto"/>
        <w:right w:val="none" w:sz="0" w:space="0" w:color="auto"/>
      </w:divBdr>
    </w:div>
    <w:div w:id="570699053">
      <w:bodyDiv w:val="1"/>
      <w:marLeft w:val="0"/>
      <w:marRight w:val="0"/>
      <w:marTop w:val="0"/>
      <w:marBottom w:val="0"/>
      <w:divBdr>
        <w:top w:val="none" w:sz="0" w:space="0" w:color="auto"/>
        <w:left w:val="none" w:sz="0" w:space="0" w:color="auto"/>
        <w:bottom w:val="none" w:sz="0" w:space="0" w:color="auto"/>
        <w:right w:val="none" w:sz="0" w:space="0" w:color="auto"/>
      </w:divBdr>
    </w:div>
    <w:div w:id="576476336">
      <w:bodyDiv w:val="1"/>
      <w:marLeft w:val="0"/>
      <w:marRight w:val="0"/>
      <w:marTop w:val="0"/>
      <w:marBottom w:val="0"/>
      <w:divBdr>
        <w:top w:val="none" w:sz="0" w:space="0" w:color="auto"/>
        <w:left w:val="none" w:sz="0" w:space="0" w:color="auto"/>
        <w:bottom w:val="none" w:sz="0" w:space="0" w:color="auto"/>
        <w:right w:val="none" w:sz="0" w:space="0" w:color="auto"/>
      </w:divBdr>
    </w:div>
    <w:div w:id="577130432">
      <w:bodyDiv w:val="1"/>
      <w:marLeft w:val="0"/>
      <w:marRight w:val="0"/>
      <w:marTop w:val="0"/>
      <w:marBottom w:val="0"/>
      <w:divBdr>
        <w:top w:val="none" w:sz="0" w:space="0" w:color="auto"/>
        <w:left w:val="none" w:sz="0" w:space="0" w:color="auto"/>
        <w:bottom w:val="none" w:sz="0" w:space="0" w:color="auto"/>
        <w:right w:val="none" w:sz="0" w:space="0" w:color="auto"/>
      </w:divBdr>
    </w:div>
    <w:div w:id="581722729">
      <w:bodyDiv w:val="1"/>
      <w:marLeft w:val="0"/>
      <w:marRight w:val="0"/>
      <w:marTop w:val="0"/>
      <w:marBottom w:val="0"/>
      <w:divBdr>
        <w:top w:val="none" w:sz="0" w:space="0" w:color="auto"/>
        <w:left w:val="none" w:sz="0" w:space="0" w:color="auto"/>
        <w:bottom w:val="none" w:sz="0" w:space="0" w:color="auto"/>
        <w:right w:val="none" w:sz="0" w:space="0" w:color="auto"/>
      </w:divBdr>
    </w:div>
    <w:div w:id="582030730">
      <w:bodyDiv w:val="1"/>
      <w:marLeft w:val="0"/>
      <w:marRight w:val="0"/>
      <w:marTop w:val="0"/>
      <w:marBottom w:val="0"/>
      <w:divBdr>
        <w:top w:val="none" w:sz="0" w:space="0" w:color="auto"/>
        <w:left w:val="none" w:sz="0" w:space="0" w:color="auto"/>
        <w:bottom w:val="none" w:sz="0" w:space="0" w:color="auto"/>
        <w:right w:val="none" w:sz="0" w:space="0" w:color="auto"/>
      </w:divBdr>
    </w:div>
    <w:div w:id="597055641">
      <w:bodyDiv w:val="1"/>
      <w:marLeft w:val="0"/>
      <w:marRight w:val="0"/>
      <w:marTop w:val="0"/>
      <w:marBottom w:val="0"/>
      <w:divBdr>
        <w:top w:val="none" w:sz="0" w:space="0" w:color="auto"/>
        <w:left w:val="none" w:sz="0" w:space="0" w:color="auto"/>
        <w:bottom w:val="none" w:sz="0" w:space="0" w:color="auto"/>
        <w:right w:val="none" w:sz="0" w:space="0" w:color="auto"/>
      </w:divBdr>
    </w:div>
    <w:div w:id="604657049">
      <w:bodyDiv w:val="1"/>
      <w:marLeft w:val="0"/>
      <w:marRight w:val="0"/>
      <w:marTop w:val="0"/>
      <w:marBottom w:val="0"/>
      <w:divBdr>
        <w:top w:val="none" w:sz="0" w:space="0" w:color="auto"/>
        <w:left w:val="none" w:sz="0" w:space="0" w:color="auto"/>
        <w:bottom w:val="none" w:sz="0" w:space="0" w:color="auto"/>
        <w:right w:val="none" w:sz="0" w:space="0" w:color="auto"/>
      </w:divBdr>
    </w:div>
    <w:div w:id="604918597">
      <w:bodyDiv w:val="1"/>
      <w:marLeft w:val="0"/>
      <w:marRight w:val="0"/>
      <w:marTop w:val="0"/>
      <w:marBottom w:val="0"/>
      <w:divBdr>
        <w:top w:val="none" w:sz="0" w:space="0" w:color="auto"/>
        <w:left w:val="none" w:sz="0" w:space="0" w:color="auto"/>
        <w:bottom w:val="none" w:sz="0" w:space="0" w:color="auto"/>
        <w:right w:val="none" w:sz="0" w:space="0" w:color="auto"/>
      </w:divBdr>
    </w:div>
    <w:div w:id="608854426">
      <w:bodyDiv w:val="1"/>
      <w:marLeft w:val="0"/>
      <w:marRight w:val="0"/>
      <w:marTop w:val="0"/>
      <w:marBottom w:val="0"/>
      <w:divBdr>
        <w:top w:val="none" w:sz="0" w:space="0" w:color="auto"/>
        <w:left w:val="none" w:sz="0" w:space="0" w:color="auto"/>
        <w:bottom w:val="none" w:sz="0" w:space="0" w:color="auto"/>
        <w:right w:val="none" w:sz="0" w:space="0" w:color="auto"/>
      </w:divBdr>
    </w:div>
    <w:div w:id="611211317">
      <w:bodyDiv w:val="1"/>
      <w:marLeft w:val="0"/>
      <w:marRight w:val="0"/>
      <w:marTop w:val="0"/>
      <w:marBottom w:val="0"/>
      <w:divBdr>
        <w:top w:val="none" w:sz="0" w:space="0" w:color="auto"/>
        <w:left w:val="none" w:sz="0" w:space="0" w:color="auto"/>
        <w:bottom w:val="none" w:sz="0" w:space="0" w:color="auto"/>
        <w:right w:val="none" w:sz="0" w:space="0" w:color="auto"/>
      </w:divBdr>
    </w:div>
    <w:div w:id="618295733">
      <w:bodyDiv w:val="1"/>
      <w:marLeft w:val="0"/>
      <w:marRight w:val="0"/>
      <w:marTop w:val="0"/>
      <w:marBottom w:val="0"/>
      <w:divBdr>
        <w:top w:val="none" w:sz="0" w:space="0" w:color="auto"/>
        <w:left w:val="none" w:sz="0" w:space="0" w:color="auto"/>
        <w:bottom w:val="none" w:sz="0" w:space="0" w:color="auto"/>
        <w:right w:val="none" w:sz="0" w:space="0" w:color="auto"/>
      </w:divBdr>
    </w:div>
    <w:div w:id="622347315">
      <w:bodyDiv w:val="1"/>
      <w:marLeft w:val="0"/>
      <w:marRight w:val="0"/>
      <w:marTop w:val="0"/>
      <w:marBottom w:val="0"/>
      <w:divBdr>
        <w:top w:val="none" w:sz="0" w:space="0" w:color="auto"/>
        <w:left w:val="none" w:sz="0" w:space="0" w:color="auto"/>
        <w:bottom w:val="none" w:sz="0" w:space="0" w:color="auto"/>
        <w:right w:val="none" w:sz="0" w:space="0" w:color="auto"/>
      </w:divBdr>
    </w:div>
    <w:div w:id="649602976">
      <w:bodyDiv w:val="1"/>
      <w:marLeft w:val="0"/>
      <w:marRight w:val="0"/>
      <w:marTop w:val="0"/>
      <w:marBottom w:val="0"/>
      <w:divBdr>
        <w:top w:val="none" w:sz="0" w:space="0" w:color="auto"/>
        <w:left w:val="none" w:sz="0" w:space="0" w:color="auto"/>
        <w:bottom w:val="none" w:sz="0" w:space="0" w:color="auto"/>
        <w:right w:val="none" w:sz="0" w:space="0" w:color="auto"/>
      </w:divBdr>
    </w:div>
    <w:div w:id="651563336">
      <w:bodyDiv w:val="1"/>
      <w:marLeft w:val="0"/>
      <w:marRight w:val="0"/>
      <w:marTop w:val="0"/>
      <w:marBottom w:val="0"/>
      <w:divBdr>
        <w:top w:val="none" w:sz="0" w:space="0" w:color="auto"/>
        <w:left w:val="none" w:sz="0" w:space="0" w:color="auto"/>
        <w:bottom w:val="none" w:sz="0" w:space="0" w:color="auto"/>
        <w:right w:val="none" w:sz="0" w:space="0" w:color="auto"/>
      </w:divBdr>
    </w:div>
    <w:div w:id="663120132">
      <w:bodyDiv w:val="1"/>
      <w:marLeft w:val="0"/>
      <w:marRight w:val="0"/>
      <w:marTop w:val="0"/>
      <w:marBottom w:val="0"/>
      <w:divBdr>
        <w:top w:val="none" w:sz="0" w:space="0" w:color="auto"/>
        <w:left w:val="none" w:sz="0" w:space="0" w:color="auto"/>
        <w:bottom w:val="none" w:sz="0" w:space="0" w:color="auto"/>
        <w:right w:val="none" w:sz="0" w:space="0" w:color="auto"/>
      </w:divBdr>
    </w:div>
    <w:div w:id="664163676">
      <w:bodyDiv w:val="1"/>
      <w:marLeft w:val="0"/>
      <w:marRight w:val="0"/>
      <w:marTop w:val="0"/>
      <w:marBottom w:val="0"/>
      <w:divBdr>
        <w:top w:val="none" w:sz="0" w:space="0" w:color="auto"/>
        <w:left w:val="none" w:sz="0" w:space="0" w:color="auto"/>
        <w:bottom w:val="none" w:sz="0" w:space="0" w:color="auto"/>
        <w:right w:val="none" w:sz="0" w:space="0" w:color="auto"/>
      </w:divBdr>
    </w:div>
    <w:div w:id="667097710">
      <w:bodyDiv w:val="1"/>
      <w:marLeft w:val="0"/>
      <w:marRight w:val="0"/>
      <w:marTop w:val="0"/>
      <w:marBottom w:val="0"/>
      <w:divBdr>
        <w:top w:val="none" w:sz="0" w:space="0" w:color="auto"/>
        <w:left w:val="none" w:sz="0" w:space="0" w:color="auto"/>
        <w:bottom w:val="none" w:sz="0" w:space="0" w:color="auto"/>
        <w:right w:val="none" w:sz="0" w:space="0" w:color="auto"/>
      </w:divBdr>
    </w:div>
    <w:div w:id="667562194">
      <w:bodyDiv w:val="1"/>
      <w:marLeft w:val="0"/>
      <w:marRight w:val="0"/>
      <w:marTop w:val="0"/>
      <w:marBottom w:val="0"/>
      <w:divBdr>
        <w:top w:val="none" w:sz="0" w:space="0" w:color="auto"/>
        <w:left w:val="none" w:sz="0" w:space="0" w:color="auto"/>
        <w:bottom w:val="none" w:sz="0" w:space="0" w:color="auto"/>
        <w:right w:val="none" w:sz="0" w:space="0" w:color="auto"/>
      </w:divBdr>
    </w:div>
    <w:div w:id="670331499">
      <w:bodyDiv w:val="1"/>
      <w:marLeft w:val="0"/>
      <w:marRight w:val="0"/>
      <w:marTop w:val="0"/>
      <w:marBottom w:val="0"/>
      <w:divBdr>
        <w:top w:val="none" w:sz="0" w:space="0" w:color="auto"/>
        <w:left w:val="none" w:sz="0" w:space="0" w:color="auto"/>
        <w:bottom w:val="none" w:sz="0" w:space="0" w:color="auto"/>
        <w:right w:val="none" w:sz="0" w:space="0" w:color="auto"/>
      </w:divBdr>
    </w:div>
    <w:div w:id="676004696">
      <w:bodyDiv w:val="1"/>
      <w:marLeft w:val="0"/>
      <w:marRight w:val="0"/>
      <w:marTop w:val="0"/>
      <w:marBottom w:val="0"/>
      <w:divBdr>
        <w:top w:val="none" w:sz="0" w:space="0" w:color="auto"/>
        <w:left w:val="none" w:sz="0" w:space="0" w:color="auto"/>
        <w:bottom w:val="none" w:sz="0" w:space="0" w:color="auto"/>
        <w:right w:val="none" w:sz="0" w:space="0" w:color="auto"/>
      </w:divBdr>
    </w:div>
    <w:div w:id="680086206">
      <w:bodyDiv w:val="1"/>
      <w:marLeft w:val="0"/>
      <w:marRight w:val="0"/>
      <w:marTop w:val="0"/>
      <w:marBottom w:val="0"/>
      <w:divBdr>
        <w:top w:val="none" w:sz="0" w:space="0" w:color="auto"/>
        <w:left w:val="none" w:sz="0" w:space="0" w:color="auto"/>
        <w:bottom w:val="none" w:sz="0" w:space="0" w:color="auto"/>
        <w:right w:val="none" w:sz="0" w:space="0" w:color="auto"/>
      </w:divBdr>
    </w:div>
    <w:div w:id="685251554">
      <w:bodyDiv w:val="1"/>
      <w:marLeft w:val="0"/>
      <w:marRight w:val="0"/>
      <w:marTop w:val="0"/>
      <w:marBottom w:val="0"/>
      <w:divBdr>
        <w:top w:val="none" w:sz="0" w:space="0" w:color="auto"/>
        <w:left w:val="none" w:sz="0" w:space="0" w:color="auto"/>
        <w:bottom w:val="none" w:sz="0" w:space="0" w:color="auto"/>
        <w:right w:val="none" w:sz="0" w:space="0" w:color="auto"/>
      </w:divBdr>
    </w:div>
    <w:div w:id="698092993">
      <w:bodyDiv w:val="1"/>
      <w:marLeft w:val="0"/>
      <w:marRight w:val="0"/>
      <w:marTop w:val="0"/>
      <w:marBottom w:val="0"/>
      <w:divBdr>
        <w:top w:val="none" w:sz="0" w:space="0" w:color="auto"/>
        <w:left w:val="none" w:sz="0" w:space="0" w:color="auto"/>
        <w:bottom w:val="none" w:sz="0" w:space="0" w:color="auto"/>
        <w:right w:val="none" w:sz="0" w:space="0" w:color="auto"/>
      </w:divBdr>
    </w:div>
    <w:div w:id="701172941">
      <w:bodyDiv w:val="1"/>
      <w:marLeft w:val="0"/>
      <w:marRight w:val="0"/>
      <w:marTop w:val="0"/>
      <w:marBottom w:val="0"/>
      <w:divBdr>
        <w:top w:val="none" w:sz="0" w:space="0" w:color="auto"/>
        <w:left w:val="none" w:sz="0" w:space="0" w:color="auto"/>
        <w:bottom w:val="none" w:sz="0" w:space="0" w:color="auto"/>
        <w:right w:val="none" w:sz="0" w:space="0" w:color="auto"/>
      </w:divBdr>
    </w:div>
    <w:div w:id="708729455">
      <w:bodyDiv w:val="1"/>
      <w:marLeft w:val="0"/>
      <w:marRight w:val="0"/>
      <w:marTop w:val="0"/>
      <w:marBottom w:val="0"/>
      <w:divBdr>
        <w:top w:val="none" w:sz="0" w:space="0" w:color="auto"/>
        <w:left w:val="none" w:sz="0" w:space="0" w:color="auto"/>
        <w:bottom w:val="none" w:sz="0" w:space="0" w:color="auto"/>
        <w:right w:val="none" w:sz="0" w:space="0" w:color="auto"/>
      </w:divBdr>
    </w:div>
    <w:div w:id="709110470">
      <w:bodyDiv w:val="1"/>
      <w:marLeft w:val="0"/>
      <w:marRight w:val="0"/>
      <w:marTop w:val="0"/>
      <w:marBottom w:val="0"/>
      <w:divBdr>
        <w:top w:val="none" w:sz="0" w:space="0" w:color="auto"/>
        <w:left w:val="none" w:sz="0" w:space="0" w:color="auto"/>
        <w:bottom w:val="none" w:sz="0" w:space="0" w:color="auto"/>
        <w:right w:val="none" w:sz="0" w:space="0" w:color="auto"/>
      </w:divBdr>
    </w:div>
    <w:div w:id="709113091">
      <w:bodyDiv w:val="1"/>
      <w:marLeft w:val="0"/>
      <w:marRight w:val="0"/>
      <w:marTop w:val="0"/>
      <w:marBottom w:val="0"/>
      <w:divBdr>
        <w:top w:val="none" w:sz="0" w:space="0" w:color="auto"/>
        <w:left w:val="none" w:sz="0" w:space="0" w:color="auto"/>
        <w:bottom w:val="none" w:sz="0" w:space="0" w:color="auto"/>
        <w:right w:val="none" w:sz="0" w:space="0" w:color="auto"/>
      </w:divBdr>
    </w:div>
    <w:div w:id="727531820">
      <w:bodyDiv w:val="1"/>
      <w:marLeft w:val="0"/>
      <w:marRight w:val="0"/>
      <w:marTop w:val="0"/>
      <w:marBottom w:val="0"/>
      <w:divBdr>
        <w:top w:val="none" w:sz="0" w:space="0" w:color="auto"/>
        <w:left w:val="none" w:sz="0" w:space="0" w:color="auto"/>
        <w:bottom w:val="none" w:sz="0" w:space="0" w:color="auto"/>
        <w:right w:val="none" w:sz="0" w:space="0" w:color="auto"/>
      </w:divBdr>
    </w:div>
    <w:div w:id="728382600">
      <w:bodyDiv w:val="1"/>
      <w:marLeft w:val="0"/>
      <w:marRight w:val="0"/>
      <w:marTop w:val="0"/>
      <w:marBottom w:val="0"/>
      <w:divBdr>
        <w:top w:val="none" w:sz="0" w:space="0" w:color="auto"/>
        <w:left w:val="none" w:sz="0" w:space="0" w:color="auto"/>
        <w:bottom w:val="none" w:sz="0" w:space="0" w:color="auto"/>
        <w:right w:val="none" w:sz="0" w:space="0" w:color="auto"/>
      </w:divBdr>
    </w:div>
    <w:div w:id="739981393">
      <w:bodyDiv w:val="1"/>
      <w:marLeft w:val="0"/>
      <w:marRight w:val="0"/>
      <w:marTop w:val="0"/>
      <w:marBottom w:val="0"/>
      <w:divBdr>
        <w:top w:val="none" w:sz="0" w:space="0" w:color="auto"/>
        <w:left w:val="none" w:sz="0" w:space="0" w:color="auto"/>
        <w:bottom w:val="none" w:sz="0" w:space="0" w:color="auto"/>
        <w:right w:val="none" w:sz="0" w:space="0" w:color="auto"/>
      </w:divBdr>
    </w:div>
    <w:div w:id="746534245">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72942165">
      <w:bodyDiv w:val="1"/>
      <w:marLeft w:val="0"/>
      <w:marRight w:val="0"/>
      <w:marTop w:val="0"/>
      <w:marBottom w:val="0"/>
      <w:divBdr>
        <w:top w:val="none" w:sz="0" w:space="0" w:color="auto"/>
        <w:left w:val="none" w:sz="0" w:space="0" w:color="auto"/>
        <w:bottom w:val="none" w:sz="0" w:space="0" w:color="auto"/>
        <w:right w:val="none" w:sz="0" w:space="0" w:color="auto"/>
      </w:divBdr>
    </w:div>
    <w:div w:id="798575666">
      <w:bodyDiv w:val="1"/>
      <w:marLeft w:val="0"/>
      <w:marRight w:val="0"/>
      <w:marTop w:val="0"/>
      <w:marBottom w:val="0"/>
      <w:divBdr>
        <w:top w:val="none" w:sz="0" w:space="0" w:color="auto"/>
        <w:left w:val="none" w:sz="0" w:space="0" w:color="auto"/>
        <w:bottom w:val="none" w:sz="0" w:space="0" w:color="auto"/>
        <w:right w:val="none" w:sz="0" w:space="0" w:color="auto"/>
      </w:divBdr>
    </w:div>
    <w:div w:id="806553623">
      <w:bodyDiv w:val="1"/>
      <w:marLeft w:val="0"/>
      <w:marRight w:val="0"/>
      <w:marTop w:val="0"/>
      <w:marBottom w:val="0"/>
      <w:divBdr>
        <w:top w:val="none" w:sz="0" w:space="0" w:color="auto"/>
        <w:left w:val="none" w:sz="0" w:space="0" w:color="auto"/>
        <w:bottom w:val="none" w:sz="0" w:space="0" w:color="auto"/>
        <w:right w:val="none" w:sz="0" w:space="0" w:color="auto"/>
      </w:divBdr>
    </w:div>
    <w:div w:id="810363852">
      <w:bodyDiv w:val="1"/>
      <w:marLeft w:val="0"/>
      <w:marRight w:val="0"/>
      <w:marTop w:val="0"/>
      <w:marBottom w:val="0"/>
      <w:divBdr>
        <w:top w:val="none" w:sz="0" w:space="0" w:color="auto"/>
        <w:left w:val="none" w:sz="0" w:space="0" w:color="auto"/>
        <w:bottom w:val="none" w:sz="0" w:space="0" w:color="auto"/>
        <w:right w:val="none" w:sz="0" w:space="0" w:color="auto"/>
      </w:divBdr>
    </w:div>
    <w:div w:id="812064321">
      <w:bodyDiv w:val="1"/>
      <w:marLeft w:val="0"/>
      <w:marRight w:val="0"/>
      <w:marTop w:val="0"/>
      <w:marBottom w:val="0"/>
      <w:divBdr>
        <w:top w:val="none" w:sz="0" w:space="0" w:color="auto"/>
        <w:left w:val="none" w:sz="0" w:space="0" w:color="auto"/>
        <w:bottom w:val="none" w:sz="0" w:space="0" w:color="auto"/>
        <w:right w:val="none" w:sz="0" w:space="0" w:color="auto"/>
      </w:divBdr>
    </w:div>
    <w:div w:id="817379796">
      <w:bodyDiv w:val="1"/>
      <w:marLeft w:val="0"/>
      <w:marRight w:val="0"/>
      <w:marTop w:val="0"/>
      <w:marBottom w:val="0"/>
      <w:divBdr>
        <w:top w:val="none" w:sz="0" w:space="0" w:color="auto"/>
        <w:left w:val="none" w:sz="0" w:space="0" w:color="auto"/>
        <w:bottom w:val="none" w:sz="0" w:space="0" w:color="auto"/>
        <w:right w:val="none" w:sz="0" w:space="0" w:color="auto"/>
      </w:divBdr>
    </w:div>
    <w:div w:id="819076901">
      <w:bodyDiv w:val="1"/>
      <w:marLeft w:val="0"/>
      <w:marRight w:val="0"/>
      <w:marTop w:val="0"/>
      <w:marBottom w:val="0"/>
      <w:divBdr>
        <w:top w:val="none" w:sz="0" w:space="0" w:color="auto"/>
        <w:left w:val="none" w:sz="0" w:space="0" w:color="auto"/>
        <w:bottom w:val="none" w:sz="0" w:space="0" w:color="auto"/>
        <w:right w:val="none" w:sz="0" w:space="0" w:color="auto"/>
      </w:divBdr>
    </w:div>
    <w:div w:id="821385661">
      <w:bodyDiv w:val="1"/>
      <w:marLeft w:val="0"/>
      <w:marRight w:val="0"/>
      <w:marTop w:val="0"/>
      <w:marBottom w:val="0"/>
      <w:divBdr>
        <w:top w:val="none" w:sz="0" w:space="0" w:color="auto"/>
        <w:left w:val="none" w:sz="0" w:space="0" w:color="auto"/>
        <w:bottom w:val="none" w:sz="0" w:space="0" w:color="auto"/>
        <w:right w:val="none" w:sz="0" w:space="0" w:color="auto"/>
      </w:divBdr>
    </w:div>
    <w:div w:id="828600771">
      <w:bodyDiv w:val="1"/>
      <w:marLeft w:val="0"/>
      <w:marRight w:val="0"/>
      <w:marTop w:val="0"/>
      <w:marBottom w:val="0"/>
      <w:divBdr>
        <w:top w:val="none" w:sz="0" w:space="0" w:color="auto"/>
        <w:left w:val="none" w:sz="0" w:space="0" w:color="auto"/>
        <w:bottom w:val="none" w:sz="0" w:space="0" w:color="auto"/>
        <w:right w:val="none" w:sz="0" w:space="0" w:color="auto"/>
      </w:divBdr>
    </w:div>
    <w:div w:id="832066475">
      <w:bodyDiv w:val="1"/>
      <w:marLeft w:val="0"/>
      <w:marRight w:val="0"/>
      <w:marTop w:val="0"/>
      <w:marBottom w:val="0"/>
      <w:divBdr>
        <w:top w:val="none" w:sz="0" w:space="0" w:color="auto"/>
        <w:left w:val="none" w:sz="0" w:space="0" w:color="auto"/>
        <w:bottom w:val="none" w:sz="0" w:space="0" w:color="auto"/>
        <w:right w:val="none" w:sz="0" w:space="0" w:color="auto"/>
      </w:divBdr>
    </w:div>
    <w:div w:id="832911222">
      <w:bodyDiv w:val="1"/>
      <w:marLeft w:val="0"/>
      <w:marRight w:val="0"/>
      <w:marTop w:val="0"/>
      <w:marBottom w:val="0"/>
      <w:divBdr>
        <w:top w:val="none" w:sz="0" w:space="0" w:color="auto"/>
        <w:left w:val="none" w:sz="0" w:space="0" w:color="auto"/>
        <w:bottom w:val="none" w:sz="0" w:space="0" w:color="auto"/>
        <w:right w:val="none" w:sz="0" w:space="0" w:color="auto"/>
      </w:divBdr>
    </w:div>
    <w:div w:id="842739194">
      <w:bodyDiv w:val="1"/>
      <w:marLeft w:val="0"/>
      <w:marRight w:val="0"/>
      <w:marTop w:val="0"/>
      <w:marBottom w:val="0"/>
      <w:divBdr>
        <w:top w:val="none" w:sz="0" w:space="0" w:color="auto"/>
        <w:left w:val="none" w:sz="0" w:space="0" w:color="auto"/>
        <w:bottom w:val="none" w:sz="0" w:space="0" w:color="auto"/>
        <w:right w:val="none" w:sz="0" w:space="0" w:color="auto"/>
      </w:divBdr>
    </w:div>
    <w:div w:id="844856551">
      <w:bodyDiv w:val="1"/>
      <w:marLeft w:val="0"/>
      <w:marRight w:val="0"/>
      <w:marTop w:val="0"/>
      <w:marBottom w:val="0"/>
      <w:divBdr>
        <w:top w:val="none" w:sz="0" w:space="0" w:color="auto"/>
        <w:left w:val="none" w:sz="0" w:space="0" w:color="auto"/>
        <w:bottom w:val="none" w:sz="0" w:space="0" w:color="auto"/>
        <w:right w:val="none" w:sz="0" w:space="0" w:color="auto"/>
      </w:divBdr>
    </w:div>
    <w:div w:id="850218180">
      <w:bodyDiv w:val="1"/>
      <w:marLeft w:val="0"/>
      <w:marRight w:val="0"/>
      <w:marTop w:val="0"/>
      <w:marBottom w:val="0"/>
      <w:divBdr>
        <w:top w:val="none" w:sz="0" w:space="0" w:color="auto"/>
        <w:left w:val="none" w:sz="0" w:space="0" w:color="auto"/>
        <w:bottom w:val="none" w:sz="0" w:space="0" w:color="auto"/>
        <w:right w:val="none" w:sz="0" w:space="0" w:color="auto"/>
      </w:divBdr>
    </w:div>
    <w:div w:id="855467103">
      <w:bodyDiv w:val="1"/>
      <w:marLeft w:val="0"/>
      <w:marRight w:val="0"/>
      <w:marTop w:val="0"/>
      <w:marBottom w:val="0"/>
      <w:divBdr>
        <w:top w:val="none" w:sz="0" w:space="0" w:color="auto"/>
        <w:left w:val="none" w:sz="0" w:space="0" w:color="auto"/>
        <w:bottom w:val="none" w:sz="0" w:space="0" w:color="auto"/>
        <w:right w:val="none" w:sz="0" w:space="0" w:color="auto"/>
      </w:divBdr>
    </w:div>
    <w:div w:id="862279467">
      <w:bodyDiv w:val="1"/>
      <w:marLeft w:val="0"/>
      <w:marRight w:val="0"/>
      <w:marTop w:val="0"/>
      <w:marBottom w:val="0"/>
      <w:divBdr>
        <w:top w:val="none" w:sz="0" w:space="0" w:color="auto"/>
        <w:left w:val="none" w:sz="0" w:space="0" w:color="auto"/>
        <w:bottom w:val="none" w:sz="0" w:space="0" w:color="auto"/>
        <w:right w:val="none" w:sz="0" w:space="0" w:color="auto"/>
      </w:divBdr>
    </w:div>
    <w:div w:id="871041025">
      <w:bodyDiv w:val="1"/>
      <w:marLeft w:val="0"/>
      <w:marRight w:val="0"/>
      <w:marTop w:val="0"/>
      <w:marBottom w:val="0"/>
      <w:divBdr>
        <w:top w:val="none" w:sz="0" w:space="0" w:color="auto"/>
        <w:left w:val="none" w:sz="0" w:space="0" w:color="auto"/>
        <w:bottom w:val="none" w:sz="0" w:space="0" w:color="auto"/>
        <w:right w:val="none" w:sz="0" w:space="0" w:color="auto"/>
      </w:divBdr>
    </w:div>
    <w:div w:id="871844923">
      <w:bodyDiv w:val="1"/>
      <w:marLeft w:val="0"/>
      <w:marRight w:val="0"/>
      <w:marTop w:val="0"/>
      <w:marBottom w:val="0"/>
      <w:divBdr>
        <w:top w:val="none" w:sz="0" w:space="0" w:color="auto"/>
        <w:left w:val="none" w:sz="0" w:space="0" w:color="auto"/>
        <w:bottom w:val="none" w:sz="0" w:space="0" w:color="auto"/>
        <w:right w:val="none" w:sz="0" w:space="0" w:color="auto"/>
      </w:divBdr>
    </w:div>
    <w:div w:id="891967119">
      <w:bodyDiv w:val="1"/>
      <w:marLeft w:val="0"/>
      <w:marRight w:val="0"/>
      <w:marTop w:val="0"/>
      <w:marBottom w:val="0"/>
      <w:divBdr>
        <w:top w:val="none" w:sz="0" w:space="0" w:color="auto"/>
        <w:left w:val="none" w:sz="0" w:space="0" w:color="auto"/>
        <w:bottom w:val="none" w:sz="0" w:space="0" w:color="auto"/>
        <w:right w:val="none" w:sz="0" w:space="0" w:color="auto"/>
      </w:divBdr>
    </w:div>
    <w:div w:id="901721781">
      <w:bodyDiv w:val="1"/>
      <w:marLeft w:val="0"/>
      <w:marRight w:val="0"/>
      <w:marTop w:val="0"/>
      <w:marBottom w:val="0"/>
      <w:divBdr>
        <w:top w:val="none" w:sz="0" w:space="0" w:color="auto"/>
        <w:left w:val="none" w:sz="0" w:space="0" w:color="auto"/>
        <w:bottom w:val="none" w:sz="0" w:space="0" w:color="auto"/>
        <w:right w:val="none" w:sz="0" w:space="0" w:color="auto"/>
      </w:divBdr>
    </w:div>
    <w:div w:id="904797362">
      <w:bodyDiv w:val="1"/>
      <w:marLeft w:val="0"/>
      <w:marRight w:val="0"/>
      <w:marTop w:val="0"/>
      <w:marBottom w:val="0"/>
      <w:divBdr>
        <w:top w:val="none" w:sz="0" w:space="0" w:color="auto"/>
        <w:left w:val="none" w:sz="0" w:space="0" w:color="auto"/>
        <w:bottom w:val="none" w:sz="0" w:space="0" w:color="auto"/>
        <w:right w:val="none" w:sz="0" w:space="0" w:color="auto"/>
      </w:divBdr>
    </w:div>
    <w:div w:id="918750361">
      <w:bodyDiv w:val="1"/>
      <w:marLeft w:val="0"/>
      <w:marRight w:val="0"/>
      <w:marTop w:val="0"/>
      <w:marBottom w:val="0"/>
      <w:divBdr>
        <w:top w:val="none" w:sz="0" w:space="0" w:color="auto"/>
        <w:left w:val="none" w:sz="0" w:space="0" w:color="auto"/>
        <w:bottom w:val="none" w:sz="0" w:space="0" w:color="auto"/>
        <w:right w:val="none" w:sz="0" w:space="0" w:color="auto"/>
      </w:divBdr>
    </w:div>
    <w:div w:id="930040993">
      <w:bodyDiv w:val="1"/>
      <w:marLeft w:val="0"/>
      <w:marRight w:val="0"/>
      <w:marTop w:val="0"/>
      <w:marBottom w:val="0"/>
      <w:divBdr>
        <w:top w:val="none" w:sz="0" w:space="0" w:color="auto"/>
        <w:left w:val="none" w:sz="0" w:space="0" w:color="auto"/>
        <w:bottom w:val="none" w:sz="0" w:space="0" w:color="auto"/>
        <w:right w:val="none" w:sz="0" w:space="0" w:color="auto"/>
      </w:divBdr>
    </w:div>
    <w:div w:id="973363207">
      <w:bodyDiv w:val="1"/>
      <w:marLeft w:val="0"/>
      <w:marRight w:val="0"/>
      <w:marTop w:val="0"/>
      <w:marBottom w:val="0"/>
      <w:divBdr>
        <w:top w:val="none" w:sz="0" w:space="0" w:color="auto"/>
        <w:left w:val="none" w:sz="0" w:space="0" w:color="auto"/>
        <w:bottom w:val="none" w:sz="0" w:space="0" w:color="auto"/>
        <w:right w:val="none" w:sz="0" w:space="0" w:color="auto"/>
      </w:divBdr>
    </w:div>
    <w:div w:id="978343081">
      <w:bodyDiv w:val="1"/>
      <w:marLeft w:val="0"/>
      <w:marRight w:val="0"/>
      <w:marTop w:val="0"/>
      <w:marBottom w:val="0"/>
      <w:divBdr>
        <w:top w:val="none" w:sz="0" w:space="0" w:color="auto"/>
        <w:left w:val="none" w:sz="0" w:space="0" w:color="auto"/>
        <w:bottom w:val="none" w:sz="0" w:space="0" w:color="auto"/>
        <w:right w:val="none" w:sz="0" w:space="0" w:color="auto"/>
      </w:divBdr>
    </w:div>
    <w:div w:id="1009412522">
      <w:bodyDiv w:val="1"/>
      <w:marLeft w:val="0"/>
      <w:marRight w:val="0"/>
      <w:marTop w:val="0"/>
      <w:marBottom w:val="0"/>
      <w:divBdr>
        <w:top w:val="none" w:sz="0" w:space="0" w:color="auto"/>
        <w:left w:val="none" w:sz="0" w:space="0" w:color="auto"/>
        <w:bottom w:val="none" w:sz="0" w:space="0" w:color="auto"/>
        <w:right w:val="none" w:sz="0" w:space="0" w:color="auto"/>
      </w:divBdr>
    </w:div>
    <w:div w:id="1028602533">
      <w:bodyDiv w:val="1"/>
      <w:marLeft w:val="0"/>
      <w:marRight w:val="0"/>
      <w:marTop w:val="0"/>
      <w:marBottom w:val="0"/>
      <w:divBdr>
        <w:top w:val="none" w:sz="0" w:space="0" w:color="auto"/>
        <w:left w:val="none" w:sz="0" w:space="0" w:color="auto"/>
        <w:bottom w:val="none" w:sz="0" w:space="0" w:color="auto"/>
        <w:right w:val="none" w:sz="0" w:space="0" w:color="auto"/>
      </w:divBdr>
    </w:div>
    <w:div w:id="1035472336">
      <w:bodyDiv w:val="1"/>
      <w:marLeft w:val="0"/>
      <w:marRight w:val="0"/>
      <w:marTop w:val="0"/>
      <w:marBottom w:val="0"/>
      <w:divBdr>
        <w:top w:val="none" w:sz="0" w:space="0" w:color="auto"/>
        <w:left w:val="none" w:sz="0" w:space="0" w:color="auto"/>
        <w:bottom w:val="none" w:sz="0" w:space="0" w:color="auto"/>
        <w:right w:val="none" w:sz="0" w:space="0" w:color="auto"/>
      </w:divBdr>
    </w:div>
    <w:div w:id="1038893021">
      <w:bodyDiv w:val="1"/>
      <w:marLeft w:val="0"/>
      <w:marRight w:val="0"/>
      <w:marTop w:val="0"/>
      <w:marBottom w:val="0"/>
      <w:divBdr>
        <w:top w:val="none" w:sz="0" w:space="0" w:color="auto"/>
        <w:left w:val="none" w:sz="0" w:space="0" w:color="auto"/>
        <w:bottom w:val="none" w:sz="0" w:space="0" w:color="auto"/>
        <w:right w:val="none" w:sz="0" w:space="0" w:color="auto"/>
      </w:divBdr>
    </w:div>
    <w:div w:id="1057509735">
      <w:bodyDiv w:val="1"/>
      <w:marLeft w:val="0"/>
      <w:marRight w:val="0"/>
      <w:marTop w:val="0"/>
      <w:marBottom w:val="0"/>
      <w:divBdr>
        <w:top w:val="none" w:sz="0" w:space="0" w:color="auto"/>
        <w:left w:val="none" w:sz="0" w:space="0" w:color="auto"/>
        <w:bottom w:val="none" w:sz="0" w:space="0" w:color="auto"/>
        <w:right w:val="none" w:sz="0" w:space="0" w:color="auto"/>
      </w:divBdr>
    </w:div>
    <w:div w:id="1058285667">
      <w:bodyDiv w:val="1"/>
      <w:marLeft w:val="0"/>
      <w:marRight w:val="0"/>
      <w:marTop w:val="0"/>
      <w:marBottom w:val="0"/>
      <w:divBdr>
        <w:top w:val="none" w:sz="0" w:space="0" w:color="auto"/>
        <w:left w:val="none" w:sz="0" w:space="0" w:color="auto"/>
        <w:bottom w:val="none" w:sz="0" w:space="0" w:color="auto"/>
        <w:right w:val="none" w:sz="0" w:space="0" w:color="auto"/>
      </w:divBdr>
    </w:div>
    <w:div w:id="1060246886">
      <w:bodyDiv w:val="1"/>
      <w:marLeft w:val="0"/>
      <w:marRight w:val="0"/>
      <w:marTop w:val="0"/>
      <w:marBottom w:val="0"/>
      <w:divBdr>
        <w:top w:val="none" w:sz="0" w:space="0" w:color="auto"/>
        <w:left w:val="none" w:sz="0" w:space="0" w:color="auto"/>
        <w:bottom w:val="none" w:sz="0" w:space="0" w:color="auto"/>
        <w:right w:val="none" w:sz="0" w:space="0" w:color="auto"/>
      </w:divBdr>
    </w:div>
    <w:div w:id="1063453437">
      <w:bodyDiv w:val="1"/>
      <w:marLeft w:val="0"/>
      <w:marRight w:val="0"/>
      <w:marTop w:val="0"/>
      <w:marBottom w:val="0"/>
      <w:divBdr>
        <w:top w:val="none" w:sz="0" w:space="0" w:color="auto"/>
        <w:left w:val="none" w:sz="0" w:space="0" w:color="auto"/>
        <w:bottom w:val="none" w:sz="0" w:space="0" w:color="auto"/>
        <w:right w:val="none" w:sz="0" w:space="0" w:color="auto"/>
      </w:divBdr>
    </w:div>
    <w:div w:id="1073314711">
      <w:bodyDiv w:val="1"/>
      <w:marLeft w:val="0"/>
      <w:marRight w:val="0"/>
      <w:marTop w:val="0"/>
      <w:marBottom w:val="0"/>
      <w:divBdr>
        <w:top w:val="none" w:sz="0" w:space="0" w:color="auto"/>
        <w:left w:val="none" w:sz="0" w:space="0" w:color="auto"/>
        <w:bottom w:val="none" w:sz="0" w:space="0" w:color="auto"/>
        <w:right w:val="none" w:sz="0" w:space="0" w:color="auto"/>
      </w:divBdr>
    </w:div>
    <w:div w:id="1077097650">
      <w:bodyDiv w:val="1"/>
      <w:marLeft w:val="0"/>
      <w:marRight w:val="0"/>
      <w:marTop w:val="0"/>
      <w:marBottom w:val="0"/>
      <w:divBdr>
        <w:top w:val="none" w:sz="0" w:space="0" w:color="auto"/>
        <w:left w:val="none" w:sz="0" w:space="0" w:color="auto"/>
        <w:bottom w:val="none" w:sz="0" w:space="0" w:color="auto"/>
        <w:right w:val="none" w:sz="0" w:space="0" w:color="auto"/>
      </w:divBdr>
    </w:div>
    <w:div w:id="1081365842">
      <w:bodyDiv w:val="1"/>
      <w:marLeft w:val="0"/>
      <w:marRight w:val="0"/>
      <w:marTop w:val="0"/>
      <w:marBottom w:val="0"/>
      <w:divBdr>
        <w:top w:val="none" w:sz="0" w:space="0" w:color="auto"/>
        <w:left w:val="none" w:sz="0" w:space="0" w:color="auto"/>
        <w:bottom w:val="none" w:sz="0" w:space="0" w:color="auto"/>
        <w:right w:val="none" w:sz="0" w:space="0" w:color="auto"/>
      </w:divBdr>
    </w:div>
    <w:div w:id="1086265237">
      <w:bodyDiv w:val="1"/>
      <w:marLeft w:val="0"/>
      <w:marRight w:val="0"/>
      <w:marTop w:val="0"/>
      <w:marBottom w:val="0"/>
      <w:divBdr>
        <w:top w:val="none" w:sz="0" w:space="0" w:color="auto"/>
        <w:left w:val="none" w:sz="0" w:space="0" w:color="auto"/>
        <w:bottom w:val="none" w:sz="0" w:space="0" w:color="auto"/>
        <w:right w:val="none" w:sz="0" w:space="0" w:color="auto"/>
      </w:divBdr>
    </w:div>
    <w:div w:id="1101490998">
      <w:bodyDiv w:val="1"/>
      <w:marLeft w:val="0"/>
      <w:marRight w:val="0"/>
      <w:marTop w:val="0"/>
      <w:marBottom w:val="0"/>
      <w:divBdr>
        <w:top w:val="none" w:sz="0" w:space="0" w:color="auto"/>
        <w:left w:val="none" w:sz="0" w:space="0" w:color="auto"/>
        <w:bottom w:val="none" w:sz="0" w:space="0" w:color="auto"/>
        <w:right w:val="none" w:sz="0" w:space="0" w:color="auto"/>
      </w:divBdr>
    </w:div>
    <w:div w:id="1108813651">
      <w:bodyDiv w:val="1"/>
      <w:marLeft w:val="0"/>
      <w:marRight w:val="0"/>
      <w:marTop w:val="0"/>
      <w:marBottom w:val="0"/>
      <w:divBdr>
        <w:top w:val="none" w:sz="0" w:space="0" w:color="auto"/>
        <w:left w:val="none" w:sz="0" w:space="0" w:color="auto"/>
        <w:bottom w:val="none" w:sz="0" w:space="0" w:color="auto"/>
        <w:right w:val="none" w:sz="0" w:space="0" w:color="auto"/>
      </w:divBdr>
    </w:div>
    <w:div w:id="1108816931">
      <w:bodyDiv w:val="1"/>
      <w:marLeft w:val="0"/>
      <w:marRight w:val="0"/>
      <w:marTop w:val="0"/>
      <w:marBottom w:val="0"/>
      <w:divBdr>
        <w:top w:val="none" w:sz="0" w:space="0" w:color="auto"/>
        <w:left w:val="none" w:sz="0" w:space="0" w:color="auto"/>
        <w:bottom w:val="none" w:sz="0" w:space="0" w:color="auto"/>
        <w:right w:val="none" w:sz="0" w:space="0" w:color="auto"/>
      </w:divBdr>
      <w:divsChild>
        <w:div w:id="639312380">
          <w:marLeft w:val="0"/>
          <w:marRight w:val="0"/>
          <w:marTop w:val="0"/>
          <w:marBottom w:val="0"/>
          <w:divBdr>
            <w:top w:val="none" w:sz="0" w:space="0" w:color="auto"/>
            <w:left w:val="none" w:sz="0" w:space="0" w:color="auto"/>
            <w:bottom w:val="none" w:sz="0" w:space="0" w:color="auto"/>
            <w:right w:val="none" w:sz="0" w:space="0" w:color="auto"/>
          </w:divBdr>
        </w:div>
        <w:div w:id="1680087150">
          <w:marLeft w:val="0"/>
          <w:marRight w:val="0"/>
          <w:marTop w:val="0"/>
          <w:marBottom w:val="0"/>
          <w:divBdr>
            <w:top w:val="none" w:sz="0" w:space="0" w:color="auto"/>
            <w:left w:val="none" w:sz="0" w:space="0" w:color="auto"/>
            <w:bottom w:val="none" w:sz="0" w:space="0" w:color="auto"/>
            <w:right w:val="none" w:sz="0" w:space="0" w:color="auto"/>
          </w:divBdr>
        </w:div>
      </w:divsChild>
    </w:div>
    <w:div w:id="1120686444">
      <w:bodyDiv w:val="1"/>
      <w:marLeft w:val="0"/>
      <w:marRight w:val="0"/>
      <w:marTop w:val="0"/>
      <w:marBottom w:val="0"/>
      <w:divBdr>
        <w:top w:val="none" w:sz="0" w:space="0" w:color="auto"/>
        <w:left w:val="none" w:sz="0" w:space="0" w:color="auto"/>
        <w:bottom w:val="none" w:sz="0" w:space="0" w:color="auto"/>
        <w:right w:val="none" w:sz="0" w:space="0" w:color="auto"/>
      </w:divBdr>
    </w:div>
    <w:div w:id="1127088954">
      <w:bodyDiv w:val="1"/>
      <w:marLeft w:val="0"/>
      <w:marRight w:val="0"/>
      <w:marTop w:val="0"/>
      <w:marBottom w:val="0"/>
      <w:divBdr>
        <w:top w:val="none" w:sz="0" w:space="0" w:color="auto"/>
        <w:left w:val="none" w:sz="0" w:space="0" w:color="auto"/>
        <w:bottom w:val="none" w:sz="0" w:space="0" w:color="auto"/>
        <w:right w:val="none" w:sz="0" w:space="0" w:color="auto"/>
      </w:divBdr>
    </w:div>
    <w:div w:id="1128625938">
      <w:bodyDiv w:val="1"/>
      <w:marLeft w:val="0"/>
      <w:marRight w:val="0"/>
      <w:marTop w:val="0"/>
      <w:marBottom w:val="0"/>
      <w:divBdr>
        <w:top w:val="none" w:sz="0" w:space="0" w:color="auto"/>
        <w:left w:val="none" w:sz="0" w:space="0" w:color="auto"/>
        <w:bottom w:val="none" w:sz="0" w:space="0" w:color="auto"/>
        <w:right w:val="none" w:sz="0" w:space="0" w:color="auto"/>
      </w:divBdr>
    </w:div>
    <w:div w:id="1145245365">
      <w:bodyDiv w:val="1"/>
      <w:marLeft w:val="0"/>
      <w:marRight w:val="0"/>
      <w:marTop w:val="0"/>
      <w:marBottom w:val="0"/>
      <w:divBdr>
        <w:top w:val="none" w:sz="0" w:space="0" w:color="auto"/>
        <w:left w:val="none" w:sz="0" w:space="0" w:color="auto"/>
        <w:bottom w:val="none" w:sz="0" w:space="0" w:color="auto"/>
        <w:right w:val="none" w:sz="0" w:space="0" w:color="auto"/>
      </w:divBdr>
    </w:div>
    <w:div w:id="1145777451">
      <w:bodyDiv w:val="1"/>
      <w:marLeft w:val="0"/>
      <w:marRight w:val="0"/>
      <w:marTop w:val="0"/>
      <w:marBottom w:val="0"/>
      <w:divBdr>
        <w:top w:val="none" w:sz="0" w:space="0" w:color="auto"/>
        <w:left w:val="none" w:sz="0" w:space="0" w:color="auto"/>
        <w:bottom w:val="none" w:sz="0" w:space="0" w:color="auto"/>
        <w:right w:val="none" w:sz="0" w:space="0" w:color="auto"/>
      </w:divBdr>
    </w:div>
    <w:div w:id="1146315503">
      <w:bodyDiv w:val="1"/>
      <w:marLeft w:val="0"/>
      <w:marRight w:val="0"/>
      <w:marTop w:val="0"/>
      <w:marBottom w:val="0"/>
      <w:divBdr>
        <w:top w:val="none" w:sz="0" w:space="0" w:color="auto"/>
        <w:left w:val="none" w:sz="0" w:space="0" w:color="auto"/>
        <w:bottom w:val="none" w:sz="0" w:space="0" w:color="auto"/>
        <w:right w:val="none" w:sz="0" w:space="0" w:color="auto"/>
      </w:divBdr>
    </w:div>
    <w:div w:id="1151676335">
      <w:bodyDiv w:val="1"/>
      <w:marLeft w:val="0"/>
      <w:marRight w:val="0"/>
      <w:marTop w:val="0"/>
      <w:marBottom w:val="0"/>
      <w:divBdr>
        <w:top w:val="none" w:sz="0" w:space="0" w:color="auto"/>
        <w:left w:val="none" w:sz="0" w:space="0" w:color="auto"/>
        <w:bottom w:val="none" w:sz="0" w:space="0" w:color="auto"/>
        <w:right w:val="none" w:sz="0" w:space="0" w:color="auto"/>
      </w:divBdr>
    </w:div>
    <w:div w:id="1159883697">
      <w:bodyDiv w:val="1"/>
      <w:marLeft w:val="0"/>
      <w:marRight w:val="0"/>
      <w:marTop w:val="0"/>
      <w:marBottom w:val="0"/>
      <w:divBdr>
        <w:top w:val="none" w:sz="0" w:space="0" w:color="auto"/>
        <w:left w:val="none" w:sz="0" w:space="0" w:color="auto"/>
        <w:bottom w:val="none" w:sz="0" w:space="0" w:color="auto"/>
        <w:right w:val="none" w:sz="0" w:space="0" w:color="auto"/>
      </w:divBdr>
    </w:div>
    <w:div w:id="1161239134">
      <w:bodyDiv w:val="1"/>
      <w:marLeft w:val="0"/>
      <w:marRight w:val="0"/>
      <w:marTop w:val="0"/>
      <w:marBottom w:val="0"/>
      <w:divBdr>
        <w:top w:val="none" w:sz="0" w:space="0" w:color="auto"/>
        <w:left w:val="none" w:sz="0" w:space="0" w:color="auto"/>
        <w:bottom w:val="none" w:sz="0" w:space="0" w:color="auto"/>
        <w:right w:val="none" w:sz="0" w:space="0" w:color="auto"/>
      </w:divBdr>
    </w:div>
    <w:div w:id="1168403379">
      <w:bodyDiv w:val="1"/>
      <w:marLeft w:val="0"/>
      <w:marRight w:val="0"/>
      <w:marTop w:val="0"/>
      <w:marBottom w:val="0"/>
      <w:divBdr>
        <w:top w:val="none" w:sz="0" w:space="0" w:color="auto"/>
        <w:left w:val="none" w:sz="0" w:space="0" w:color="auto"/>
        <w:bottom w:val="none" w:sz="0" w:space="0" w:color="auto"/>
        <w:right w:val="none" w:sz="0" w:space="0" w:color="auto"/>
      </w:divBdr>
    </w:div>
    <w:div w:id="1174999577">
      <w:bodyDiv w:val="1"/>
      <w:marLeft w:val="0"/>
      <w:marRight w:val="0"/>
      <w:marTop w:val="0"/>
      <w:marBottom w:val="0"/>
      <w:divBdr>
        <w:top w:val="none" w:sz="0" w:space="0" w:color="auto"/>
        <w:left w:val="none" w:sz="0" w:space="0" w:color="auto"/>
        <w:bottom w:val="none" w:sz="0" w:space="0" w:color="auto"/>
        <w:right w:val="none" w:sz="0" w:space="0" w:color="auto"/>
      </w:divBdr>
    </w:div>
    <w:div w:id="1190491385">
      <w:bodyDiv w:val="1"/>
      <w:marLeft w:val="0"/>
      <w:marRight w:val="0"/>
      <w:marTop w:val="0"/>
      <w:marBottom w:val="0"/>
      <w:divBdr>
        <w:top w:val="none" w:sz="0" w:space="0" w:color="auto"/>
        <w:left w:val="none" w:sz="0" w:space="0" w:color="auto"/>
        <w:bottom w:val="none" w:sz="0" w:space="0" w:color="auto"/>
        <w:right w:val="none" w:sz="0" w:space="0" w:color="auto"/>
      </w:divBdr>
    </w:div>
    <w:div w:id="1191141252">
      <w:bodyDiv w:val="1"/>
      <w:marLeft w:val="0"/>
      <w:marRight w:val="0"/>
      <w:marTop w:val="0"/>
      <w:marBottom w:val="0"/>
      <w:divBdr>
        <w:top w:val="none" w:sz="0" w:space="0" w:color="auto"/>
        <w:left w:val="none" w:sz="0" w:space="0" w:color="auto"/>
        <w:bottom w:val="none" w:sz="0" w:space="0" w:color="auto"/>
        <w:right w:val="none" w:sz="0" w:space="0" w:color="auto"/>
      </w:divBdr>
    </w:div>
    <w:div w:id="1207597389">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21404500">
      <w:bodyDiv w:val="1"/>
      <w:marLeft w:val="0"/>
      <w:marRight w:val="0"/>
      <w:marTop w:val="0"/>
      <w:marBottom w:val="0"/>
      <w:divBdr>
        <w:top w:val="none" w:sz="0" w:space="0" w:color="auto"/>
        <w:left w:val="none" w:sz="0" w:space="0" w:color="auto"/>
        <w:bottom w:val="none" w:sz="0" w:space="0" w:color="auto"/>
        <w:right w:val="none" w:sz="0" w:space="0" w:color="auto"/>
      </w:divBdr>
    </w:div>
    <w:div w:id="1229729177">
      <w:bodyDiv w:val="1"/>
      <w:marLeft w:val="0"/>
      <w:marRight w:val="0"/>
      <w:marTop w:val="0"/>
      <w:marBottom w:val="0"/>
      <w:divBdr>
        <w:top w:val="none" w:sz="0" w:space="0" w:color="auto"/>
        <w:left w:val="none" w:sz="0" w:space="0" w:color="auto"/>
        <w:bottom w:val="none" w:sz="0" w:space="0" w:color="auto"/>
        <w:right w:val="none" w:sz="0" w:space="0" w:color="auto"/>
      </w:divBdr>
    </w:div>
    <w:div w:id="1231307255">
      <w:bodyDiv w:val="1"/>
      <w:marLeft w:val="0"/>
      <w:marRight w:val="0"/>
      <w:marTop w:val="0"/>
      <w:marBottom w:val="0"/>
      <w:divBdr>
        <w:top w:val="none" w:sz="0" w:space="0" w:color="auto"/>
        <w:left w:val="none" w:sz="0" w:space="0" w:color="auto"/>
        <w:bottom w:val="none" w:sz="0" w:space="0" w:color="auto"/>
        <w:right w:val="none" w:sz="0" w:space="0" w:color="auto"/>
      </w:divBdr>
    </w:div>
    <w:div w:id="1231308570">
      <w:bodyDiv w:val="1"/>
      <w:marLeft w:val="0"/>
      <w:marRight w:val="0"/>
      <w:marTop w:val="0"/>
      <w:marBottom w:val="0"/>
      <w:divBdr>
        <w:top w:val="none" w:sz="0" w:space="0" w:color="auto"/>
        <w:left w:val="none" w:sz="0" w:space="0" w:color="auto"/>
        <w:bottom w:val="none" w:sz="0" w:space="0" w:color="auto"/>
        <w:right w:val="none" w:sz="0" w:space="0" w:color="auto"/>
      </w:divBdr>
    </w:div>
    <w:div w:id="1232616140">
      <w:bodyDiv w:val="1"/>
      <w:marLeft w:val="0"/>
      <w:marRight w:val="0"/>
      <w:marTop w:val="0"/>
      <w:marBottom w:val="0"/>
      <w:divBdr>
        <w:top w:val="none" w:sz="0" w:space="0" w:color="auto"/>
        <w:left w:val="none" w:sz="0" w:space="0" w:color="auto"/>
        <w:bottom w:val="none" w:sz="0" w:space="0" w:color="auto"/>
        <w:right w:val="none" w:sz="0" w:space="0" w:color="auto"/>
      </w:divBdr>
    </w:div>
    <w:div w:id="1247569660">
      <w:bodyDiv w:val="1"/>
      <w:marLeft w:val="0"/>
      <w:marRight w:val="0"/>
      <w:marTop w:val="0"/>
      <w:marBottom w:val="0"/>
      <w:divBdr>
        <w:top w:val="none" w:sz="0" w:space="0" w:color="auto"/>
        <w:left w:val="none" w:sz="0" w:space="0" w:color="auto"/>
        <w:bottom w:val="none" w:sz="0" w:space="0" w:color="auto"/>
        <w:right w:val="none" w:sz="0" w:space="0" w:color="auto"/>
      </w:divBdr>
    </w:div>
    <w:div w:id="1251737731">
      <w:bodyDiv w:val="1"/>
      <w:marLeft w:val="0"/>
      <w:marRight w:val="0"/>
      <w:marTop w:val="0"/>
      <w:marBottom w:val="0"/>
      <w:divBdr>
        <w:top w:val="none" w:sz="0" w:space="0" w:color="auto"/>
        <w:left w:val="none" w:sz="0" w:space="0" w:color="auto"/>
        <w:bottom w:val="none" w:sz="0" w:space="0" w:color="auto"/>
        <w:right w:val="none" w:sz="0" w:space="0" w:color="auto"/>
      </w:divBdr>
    </w:div>
    <w:div w:id="1257057096">
      <w:bodyDiv w:val="1"/>
      <w:marLeft w:val="0"/>
      <w:marRight w:val="0"/>
      <w:marTop w:val="0"/>
      <w:marBottom w:val="0"/>
      <w:divBdr>
        <w:top w:val="none" w:sz="0" w:space="0" w:color="auto"/>
        <w:left w:val="none" w:sz="0" w:space="0" w:color="auto"/>
        <w:bottom w:val="none" w:sz="0" w:space="0" w:color="auto"/>
        <w:right w:val="none" w:sz="0" w:space="0" w:color="auto"/>
      </w:divBdr>
    </w:div>
    <w:div w:id="1257443289">
      <w:bodyDiv w:val="1"/>
      <w:marLeft w:val="0"/>
      <w:marRight w:val="0"/>
      <w:marTop w:val="0"/>
      <w:marBottom w:val="0"/>
      <w:divBdr>
        <w:top w:val="none" w:sz="0" w:space="0" w:color="auto"/>
        <w:left w:val="none" w:sz="0" w:space="0" w:color="auto"/>
        <w:bottom w:val="none" w:sz="0" w:space="0" w:color="auto"/>
        <w:right w:val="none" w:sz="0" w:space="0" w:color="auto"/>
      </w:divBdr>
    </w:div>
    <w:div w:id="1260065374">
      <w:bodyDiv w:val="1"/>
      <w:marLeft w:val="0"/>
      <w:marRight w:val="0"/>
      <w:marTop w:val="0"/>
      <w:marBottom w:val="0"/>
      <w:divBdr>
        <w:top w:val="none" w:sz="0" w:space="0" w:color="auto"/>
        <w:left w:val="none" w:sz="0" w:space="0" w:color="auto"/>
        <w:bottom w:val="none" w:sz="0" w:space="0" w:color="auto"/>
        <w:right w:val="none" w:sz="0" w:space="0" w:color="auto"/>
      </w:divBdr>
    </w:div>
    <w:div w:id="1261252363">
      <w:bodyDiv w:val="1"/>
      <w:marLeft w:val="0"/>
      <w:marRight w:val="0"/>
      <w:marTop w:val="0"/>
      <w:marBottom w:val="0"/>
      <w:divBdr>
        <w:top w:val="none" w:sz="0" w:space="0" w:color="auto"/>
        <w:left w:val="none" w:sz="0" w:space="0" w:color="auto"/>
        <w:bottom w:val="none" w:sz="0" w:space="0" w:color="auto"/>
        <w:right w:val="none" w:sz="0" w:space="0" w:color="auto"/>
      </w:divBdr>
    </w:div>
    <w:div w:id="1275361806">
      <w:bodyDiv w:val="1"/>
      <w:marLeft w:val="0"/>
      <w:marRight w:val="0"/>
      <w:marTop w:val="0"/>
      <w:marBottom w:val="0"/>
      <w:divBdr>
        <w:top w:val="none" w:sz="0" w:space="0" w:color="auto"/>
        <w:left w:val="none" w:sz="0" w:space="0" w:color="auto"/>
        <w:bottom w:val="none" w:sz="0" w:space="0" w:color="auto"/>
        <w:right w:val="none" w:sz="0" w:space="0" w:color="auto"/>
      </w:divBdr>
    </w:div>
    <w:div w:id="1277715601">
      <w:bodyDiv w:val="1"/>
      <w:marLeft w:val="0"/>
      <w:marRight w:val="0"/>
      <w:marTop w:val="0"/>
      <w:marBottom w:val="0"/>
      <w:divBdr>
        <w:top w:val="none" w:sz="0" w:space="0" w:color="auto"/>
        <w:left w:val="none" w:sz="0" w:space="0" w:color="auto"/>
        <w:bottom w:val="none" w:sz="0" w:space="0" w:color="auto"/>
        <w:right w:val="none" w:sz="0" w:space="0" w:color="auto"/>
      </w:divBdr>
    </w:div>
    <w:div w:id="1288007804">
      <w:bodyDiv w:val="1"/>
      <w:marLeft w:val="0"/>
      <w:marRight w:val="0"/>
      <w:marTop w:val="0"/>
      <w:marBottom w:val="0"/>
      <w:divBdr>
        <w:top w:val="none" w:sz="0" w:space="0" w:color="auto"/>
        <w:left w:val="none" w:sz="0" w:space="0" w:color="auto"/>
        <w:bottom w:val="none" w:sz="0" w:space="0" w:color="auto"/>
        <w:right w:val="none" w:sz="0" w:space="0" w:color="auto"/>
      </w:divBdr>
    </w:div>
    <w:div w:id="1288781797">
      <w:bodyDiv w:val="1"/>
      <w:marLeft w:val="0"/>
      <w:marRight w:val="0"/>
      <w:marTop w:val="0"/>
      <w:marBottom w:val="0"/>
      <w:divBdr>
        <w:top w:val="none" w:sz="0" w:space="0" w:color="auto"/>
        <w:left w:val="none" w:sz="0" w:space="0" w:color="auto"/>
        <w:bottom w:val="none" w:sz="0" w:space="0" w:color="auto"/>
        <w:right w:val="none" w:sz="0" w:space="0" w:color="auto"/>
      </w:divBdr>
    </w:div>
    <w:div w:id="1308170570">
      <w:bodyDiv w:val="1"/>
      <w:marLeft w:val="0"/>
      <w:marRight w:val="0"/>
      <w:marTop w:val="0"/>
      <w:marBottom w:val="0"/>
      <w:divBdr>
        <w:top w:val="none" w:sz="0" w:space="0" w:color="auto"/>
        <w:left w:val="none" w:sz="0" w:space="0" w:color="auto"/>
        <w:bottom w:val="none" w:sz="0" w:space="0" w:color="auto"/>
        <w:right w:val="none" w:sz="0" w:space="0" w:color="auto"/>
      </w:divBdr>
    </w:div>
    <w:div w:id="1316448505">
      <w:bodyDiv w:val="1"/>
      <w:marLeft w:val="0"/>
      <w:marRight w:val="0"/>
      <w:marTop w:val="0"/>
      <w:marBottom w:val="0"/>
      <w:divBdr>
        <w:top w:val="none" w:sz="0" w:space="0" w:color="auto"/>
        <w:left w:val="none" w:sz="0" w:space="0" w:color="auto"/>
        <w:bottom w:val="none" w:sz="0" w:space="0" w:color="auto"/>
        <w:right w:val="none" w:sz="0" w:space="0" w:color="auto"/>
      </w:divBdr>
    </w:div>
    <w:div w:id="1330060250">
      <w:bodyDiv w:val="1"/>
      <w:marLeft w:val="0"/>
      <w:marRight w:val="0"/>
      <w:marTop w:val="0"/>
      <w:marBottom w:val="0"/>
      <w:divBdr>
        <w:top w:val="none" w:sz="0" w:space="0" w:color="auto"/>
        <w:left w:val="none" w:sz="0" w:space="0" w:color="auto"/>
        <w:bottom w:val="none" w:sz="0" w:space="0" w:color="auto"/>
        <w:right w:val="none" w:sz="0" w:space="0" w:color="auto"/>
      </w:divBdr>
    </w:div>
    <w:div w:id="1333294545">
      <w:bodyDiv w:val="1"/>
      <w:marLeft w:val="0"/>
      <w:marRight w:val="0"/>
      <w:marTop w:val="0"/>
      <w:marBottom w:val="0"/>
      <w:divBdr>
        <w:top w:val="none" w:sz="0" w:space="0" w:color="auto"/>
        <w:left w:val="none" w:sz="0" w:space="0" w:color="auto"/>
        <w:bottom w:val="none" w:sz="0" w:space="0" w:color="auto"/>
        <w:right w:val="none" w:sz="0" w:space="0" w:color="auto"/>
      </w:divBdr>
    </w:div>
    <w:div w:id="1338848069">
      <w:bodyDiv w:val="1"/>
      <w:marLeft w:val="0"/>
      <w:marRight w:val="0"/>
      <w:marTop w:val="0"/>
      <w:marBottom w:val="0"/>
      <w:divBdr>
        <w:top w:val="none" w:sz="0" w:space="0" w:color="auto"/>
        <w:left w:val="none" w:sz="0" w:space="0" w:color="auto"/>
        <w:bottom w:val="none" w:sz="0" w:space="0" w:color="auto"/>
        <w:right w:val="none" w:sz="0" w:space="0" w:color="auto"/>
      </w:divBdr>
    </w:div>
    <w:div w:id="1343699820">
      <w:bodyDiv w:val="1"/>
      <w:marLeft w:val="0"/>
      <w:marRight w:val="0"/>
      <w:marTop w:val="0"/>
      <w:marBottom w:val="0"/>
      <w:divBdr>
        <w:top w:val="none" w:sz="0" w:space="0" w:color="auto"/>
        <w:left w:val="none" w:sz="0" w:space="0" w:color="auto"/>
        <w:bottom w:val="none" w:sz="0" w:space="0" w:color="auto"/>
        <w:right w:val="none" w:sz="0" w:space="0" w:color="auto"/>
      </w:divBdr>
    </w:div>
    <w:div w:id="1348141353">
      <w:bodyDiv w:val="1"/>
      <w:marLeft w:val="0"/>
      <w:marRight w:val="0"/>
      <w:marTop w:val="0"/>
      <w:marBottom w:val="0"/>
      <w:divBdr>
        <w:top w:val="none" w:sz="0" w:space="0" w:color="auto"/>
        <w:left w:val="none" w:sz="0" w:space="0" w:color="auto"/>
        <w:bottom w:val="none" w:sz="0" w:space="0" w:color="auto"/>
        <w:right w:val="none" w:sz="0" w:space="0" w:color="auto"/>
      </w:divBdr>
    </w:div>
    <w:div w:id="1354189264">
      <w:bodyDiv w:val="1"/>
      <w:marLeft w:val="0"/>
      <w:marRight w:val="0"/>
      <w:marTop w:val="0"/>
      <w:marBottom w:val="0"/>
      <w:divBdr>
        <w:top w:val="none" w:sz="0" w:space="0" w:color="auto"/>
        <w:left w:val="none" w:sz="0" w:space="0" w:color="auto"/>
        <w:bottom w:val="none" w:sz="0" w:space="0" w:color="auto"/>
        <w:right w:val="none" w:sz="0" w:space="0" w:color="auto"/>
      </w:divBdr>
    </w:div>
    <w:div w:id="1357196855">
      <w:bodyDiv w:val="1"/>
      <w:marLeft w:val="0"/>
      <w:marRight w:val="0"/>
      <w:marTop w:val="0"/>
      <w:marBottom w:val="0"/>
      <w:divBdr>
        <w:top w:val="none" w:sz="0" w:space="0" w:color="auto"/>
        <w:left w:val="none" w:sz="0" w:space="0" w:color="auto"/>
        <w:bottom w:val="none" w:sz="0" w:space="0" w:color="auto"/>
        <w:right w:val="none" w:sz="0" w:space="0" w:color="auto"/>
      </w:divBdr>
    </w:div>
    <w:div w:id="1376538530">
      <w:bodyDiv w:val="1"/>
      <w:marLeft w:val="0"/>
      <w:marRight w:val="0"/>
      <w:marTop w:val="0"/>
      <w:marBottom w:val="0"/>
      <w:divBdr>
        <w:top w:val="none" w:sz="0" w:space="0" w:color="auto"/>
        <w:left w:val="none" w:sz="0" w:space="0" w:color="auto"/>
        <w:bottom w:val="none" w:sz="0" w:space="0" w:color="auto"/>
        <w:right w:val="none" w:sz="0" w:space="0" w:color="auto"/>
      </w:divBdr>
    </w:div>
    <w:div w:id="1377509608">
      <w:bodyDiv w:val="1"/>
      <w:marLeft w:val="0"/>
      <w:marRight w:val="0"/>
      <w:marTop w:val="0"/>
      <w:marBottom w:val="0"/>
      <w:divBdr>
        <w:top w:val="none" w:sz="0" w:space="0" w:color="auto"/>
        <w:left w:val="none" w:sz="0" w:space="0" w:color="auto"/>
        <w:bottom w:val="none" w:sz="0" w:space="0" w:color="auto"/>
        <w:right w:val="none" w:sz="0" w:space="0" w:color="auto"/>
      </w:divBdr>
    </w:div>
    <w:div w:id="1388602756">
      <w:bodyDiv w:val="1"/>
      <w:marLeft w:val="0"/>
      <w:marRight w:val="0"/>
      <w:marTop w:val="0"/>
      <w:marBottom w:val="0"/>
      <w:divBdr>
        <w:top w:val="none" w:sz="0" w:space="0" w:color="auto"/>
        <w:left w:val="none" w:sz="0" w:space="0" w:color="auto"/>
        <w:bottom w:val="none" w:sz="0" w:space="0" w:color="auto"/>
        <w:right w:val="none" w:sz="0" w:space="0" w:color="auto"/>
      </w:divBdr>
    </w:div>
    <w:div w:id="1389916318">
      <w:bodyDiv w:val="1"/>
      <w:marLeft w:val="0"/>
      <w:marRight w:val="0"/>
      <w:marTop w:val="0"/>
      <w:marBottom w:val="0"/>
      <w:divBdr>
        <w:top w:val="none" w:sz="0" w:space="0" w:color="auto"/>
        <w:left w:val="none" w:sz="0" w:space="0" w:color="auto"/>
        <w:bottom w:val="none" w:sz="0" w:space="0" w:color="auto"/>
        <w:right w:val="none" w:sz="0" w:space="0" w:color="auto"/>
      </w:divBdr>
    </w:div>
    <w:div w:id="1395082097">
      <w:bodyDiv w:val="1"/>
      <w:marLeft w:val="0"/>
      <w:marRight w:val="0"/>
      <w:marTop w:val="0"/>
      <w:marBottom w:val="0"/>
      <w:divBdr>
        <w:top w:val="none" w:sz="0" w:space="0" w:color="auto"/>
        <w:left w:val="none" w:sz="0" w:space="0" w:color="auto"/>
        <w:bottom w:val="none" w:sz="0" w:space="0" w:color="auto"/>
        <w:right w:val="none" w:sz="0" w:space="0" w:color="auto"/>
      </w:divBdr>
    </w:div>
    <w:div w:id="1414477095">
      <w:bodyDiv w:val="1"/>
      <w:marLeft w:val="0"/>
      <w:marRight w:val="0"/>
      <w:marTop w:val="0"/>
      <w:marBottom w:val="0"/>
      <w:divBdr>
        <w:top w:val="none" w:sz="0" w:space="0" w:color="auto"/>
        <w:left w:val="none" w:sz="0" w:space="0" w:color="auto"/>
        <w:bottom w:val="none" w:sz="0" w:space="0" w:color="auto"/>
        <w:right w:val="none" w:sz="0" w:space="0" w:color="auto"/>
      </w:divBdr>
    </w:div>
    <w:div w:id="1415971207">
      <w:bodyDiv w:val="1"/>
      <w:marLeft w:val="0"/>
      <w:marRight w:val="0"/>
      <w:marTop w:val="0"/>
      <w:marBottom w:val="0"/>
      <w:divBdr>
        <w:top w:val="none" w:sz="0" w:space="0" w:color="auto"/>
        <w:left w:val="none" w:sz="0" w:space="0" w:color="auto"/>
        <w:bottom w:val="none" w:sz="0" w:space="0" w:color="auto"/>
        <w:right w:val="none" w:sz="0" w:space="0" w:color="auto"/>
      </w:divBdr>
    </w:div>
    <w:div w:id="1434207457">
      <w:bodyDiv w:val="1"/>
      <w:marLeft w:val="0"/>
      <w:marRight w:val="0"/>
      <w:marTop w:val="0"/>
      <w:marBottom w:val="0"/>
      <w:divBdr>
        <w:top w:val="none" w:sz="0" w:space="0" w:color="auto"/>
        <w:left w:val="none" w:sz="0" w:space="0" w:color="auto"/>
        <w:bottom w:val="none" w:sz="0" w:space="0" w:color="auto"/>
        <w:right w:val="none" w:sz="0" w:space="0" w:color="auto"/>
      </w:divBdr>
    </w:div>
    <w:div w:id="1449394366">
      <w:bodyDiv w:val="1"/>
      <w:marLeft w:val="0"/>
      <w:marRight w:val="0"/>
      <w:marTop w:val="0"/>
      <w:marBottom w:val="0"/>
      <w:divBdr>
        <w:top w:val="none" w:sz="0" w:space="0" w:color="auto"/>
        <w:left w:val="none" w:sz="0" w:space="0" w:color="auto"/>
        <w:bottom w:val="none" w:sz="0" w:space="0" w:color="auto"/>
        <w:right w:val="none" w:sz="0" w:space="0" w:color="auto"/>
      </w:divBdr>
    </w:div>
    <w:div w:id="1456948189">
      <w:bodyDiv w:val="1"/>
      <w:marLeft w:val="0"/>
      <w:marRight w:val="0"/>
      <w:marTop w:val="0"/>
      <w:marBottom w:val="0"/>
      <w:divBdr>
        <w:top w:val="none" w:sz="0" w:space="0" w:color="auto"/>
        <w:left w:val="none" w:sz="0" w:space="0" w:color="auto"/>
        <w:bottom w:val="none" w:sz="0" w:space="0" w:color="auto"/>
        <w:right w:val="none" w:sz="0" w:space="0" w:color="auto"/>
      </w:divBdr>
    </w:div>
    <w:div w:id="1460682970">
      <w:bodyDiv w:val="1"/>
      <w:marLeft w:val="0"/>
      <w:marRight w:val="0"/>
      <w:marTop w:val="0"/>
      <w:marBottom w:val="0"/>
      <w:divBdr>
        <w:top w:val="none" w:sz="0" w:space="0" w:color="auto"/>
        <w:left w:val="none" w:sz="0" w:space="0" w:color="auto"/>
        <w:bottom w:val="none" w:sz="0" w:space="0" w:color="auto"/>
        <w:right w:val="none" w:sz="0" w:space="0" w:color="auto"/>
      </w:divBdr>
    </w:div>
    <w:div w:id="1460761203">
      <w:bodyDiv w:val="1"/>
      <w:marLeft w:val="0"/>
      <w:marRight w:val="0"/>
      <w:marTop w:val="0"/>
      <w:marBottom w:val="0"/>
      <w:divBdr>
        <w:top w:val="none" w:sz="0" w:space="0" w:color="auto"/>
        <w:left w:val="none" w:sz="0" w:space="0" w:color="auto"/>
        <w:bottom w:val="none" w:sz="0" w:space="0" w:color="auto"/>
        <w:right w:val="none" w:sz="0" w:space="0" w:color="auto"/>
      </w:divBdr>
    </w:div>
    <w:div w:id="1463306827">
      <w:bodyDiv w:val="1"/>
      <w:marLeft w:val="0"/>
      <w:marRight w:val="0"/>
      <w:marTop w:val="0"/>
      <w:marBottom w:val="0"/>
      <w:divBdr>
        <w:top w:val="none" w:sz="0" w:space="0" w:color="auto"/>
        <w:left w:val="none" w:sz="0" w:space="0" w:color="auto"/>
        <w:bottom w:val="none" w:sz="0" w:space="0" w:color="auto"/>
        <w:right w:val="none" w:sz="0" w:space="0" w:color="auto"/>
      </w:divBdr>
    </w:div>
    <w:div w:id="1463427101">
      <w:bodyDiv w:val="1"/>
      <w:marLeft w:val="0"/>
      <w:marRight w:val="0"/>
      <w:marTop w:val="0"/>
      <w:marBottom w:val="0"/>
      <w:divBdr>
        <w:top w:val="none" w:sz="0" w:space="0" w:color="auto"/>
        <w:left w:val="none" w:sz="0" w:space="0" w:color="auto"/>
        <w:bottom w:val="none" w:sz="0" w:space="0" w:color="auto"/>
        <w:right w:val="none" w:sz="0" w:space="0" w:color="auto"/>
      </w:divBdr>
    </w:div>
    <w:div w:id="1468814518">
      <w:bodyDiv w:val="1"/>
      <w:marLeft w:val="0"/>
      <w:marRight w:val="0"/>
      <w:marTop w:val="0"/>
      <w:marBottom w:val="0"/>
      <w:divBdr>
        <w:top w:val="none" w:sz="0" w:space="0" w:color="auto"/>
        <w:left w:val="none" w:sz="0" w:space="0" w:color="auto"/>
        <w:bottom w:val="none" w:sz="0" w:space="0" w:color="auto"/>
        <w:right w:val="none" w:sz="0" w:space="0" w:color="auto"/>
      </w:divBdr>
    </w:div>
    <w:div w:id="1471022051">
      <w:bodyDiv w:val="1"/>
      <w:marLeft w:val="0"/>
      <w:marRight w:val="0"/>
      <w:marTop w:val="0"/>
      <w:marBottom w:val="0"/>
      <w:divBdr>
        <w:top w:val="none" w:sz="0" w:space="0" w:color="auto"/>
        <w:left w:val="none" w:sz="0" w:space="0" w:color="auto"/>
        <w:bottom w:val="none" w:sz="0" w:space="0" w:color="auto"/>
        <w:right w:val="none" w:sz="0" w:space="0" w:color="auto"/>
      </w:divBdr>
    </w:div>
    <w:div w:id="1475832154">
      <w:bodyDiv w:val="1"/>
      <w:marLeft w:val="0"/>
      <w:marRight w:val="0"/>
      <w:marTop w:val="0"/>
      <w:marBottom w:val="0"/>
      <w:divBdr>
        <w:top w:val="none" w:sz="0" w:space="0" w:color="auto"/>
        <w:left w:val="none" w:sz="0" w:space="0" w:color="auto"/>
        <w:bottom w:val="none" w:sz="0" w:space="0" w:color="auto"/>
        <w:right w:val="none" w:sz="0" w:space="0" w:color="auto"/>
      </w:divBdr>
    </w:div>
    <w:div w:id="1487894058">
      <w:bodyDiv w:val="1"/>
      <w:marLeft w:val="0"/>
      <w:marRight w:val="0"/>
      <w:marTop w:val="0"/>
      <w:marBottom w:val="0"/>
      <w:divBdr>
        <w:top w:val="none" w:sz="0" w:space="0" w:color="auto"/>
        <w:left w:val="none" w:sz="0" w:space="0" w:color="auto"/>
        <w:bottom w:val="none" w:sz="0" w:space="0" w:color="auto"/>
        <w:right w:val="none" w:sz="0" w:space="0" w:color="auto"/>
      </w:divBdr>
    </w:div>
    <w:div w:id="1490754882">
      <w:bodyDiv w:val="1"/>
      <w:marLeft w:val="0"/>
      <w:marRight w:val="0"/>
      <w:marTop w:val="0"/>
      <w:marBottom w:val="0"/>
      <w:divBdr>
        <w:top w:val="none" w:sz="0" w:space="0" w:color="auto"/>
        <w:left w:val="none" w:sz="0" w:space="0" w:color="auto"/>
        <w:bottom w:val="none" w:sz="0" w:space="0" w:color="auto"/>
        <w:right w:val="none" w:sz="0" w:space="0" w:color="auto"/>
      </w:divBdr>
    </w:div>
    <w:div w:id="1497501488">
      <w:bodyDiv w:val="1"/>
      <w:marLeft w:val="0"/>
      <w:marRight w:val="0"/>
      <w:marTop w:val="0"/>
      <w:marBottom w:val="0"/>
      <w:divBdr>
        <w:top w:val="none" w:sz="0" w:space="0" w:color="auto"/>
        <w:left w:val="none" w:sz="0" w:space="0" w:color="auto"/>
        <w:bottom w:val="none" w:sz="0" w:space="0" w:color="auto"/>
        <w:right w:val="none" w:sz="0" w:space="0" w:color="auto"/>
      </w:divBdr>
    </w:div>
    <w:div w:id="1499031118">
      <w:bodyDiv w:val="1"/>
      <w:marLeft w:val="0"/>
      <w:marRight w:val="0"/>
      <w:marTop w:val="0"/>
      <w:marBottom w:val="0"/>
      <w:divBdr>
        <w:top w:val="none" w:sz="0" w:space="0" w:color="auto"/>
        <w:left w:val="none" w:sz="0" w:space="0" w:color="auto"/>
        <w:bottom w:val="none" w:sz="0" w:space="0" w:color="auto"/>
        <w:right w:val="none" w:sz="0" w:space="0" w:color="auto"/>
      </w:divBdr>
    </w:div>
    <w:div w:id="1502282172">
      <w:bodyDiv w:val="1"/>
      <w:marLeft w:val="0"/>
      <w:marRight w:val="0"/>
      <w:marTop w:val="0"/>
      <w:marBottom w:val="0"/>
      <w:divBdr>
        <w:top w:val="none" w:sz="0" w:space="0" w:color="auto"/>
        <w:left w:val="none" w:sz="0" w:space="0" w:color="auto"/>
        <w:bottom w:val="none" w:sz="0" w:space="0" w:color="auto"/>
        <w:right w:val="none" w:sz="0" w:space="0" w:color="auto"/>
      </w:divBdr>
    </w:div>
    <w:div w:id="1505632724">
      <w:bodyDiv w:val="1"/>
      <w:marLeft w:val="0"/>
      <w:marRight w:val="0"/>
      <w:marTop w:val="0"/>
      <w:marBottom w:val="0"/>
      <w:divBdr>
        <w:top w:val="none" w:sz="0" w:space="0" w:color="auto"/>
        <w:left w:val="none" w:sz="0" w:space="0" w:color="auto"/>
        <w:bottom w:val="none" w:sz="0" w:space="0" w:color="auto"/>
        <w:right w:val="none" w:sz="0" w:space="0" w:color="auto"/>
      </w:divBdr>
    </w:div>
    <w:div w:id="1512338078">
      <w:bodyDiv w:val="1"/>
      <w:marLeft w:val="0"/>
      <w:marRight w:val="0"/>
      <w:marTop w:val="0"/>
      <w:marBottom w:val="0"/>
      <w:divBdr>
        <w:top w:val="none" w:sz="0" w:space="0" w:color="auto"/>
        <w:left w:val="none" w:sz="0" w:space="0" w:color="auto"/>
        <w:bottom w:val="none" w:sz="0" w:space="0" w:color="auto"/>
        <w:right w:val="none" w:sz="0" w:space="0" w:color="auto"/>
      </w:divBdr>
    </w:div>
    <w:div w:id="1533226707">
      <w:bodyDiv w:val="1"/>
      <w:marLeft w:val="0"/>
      <w:marRight w:val="0"/>
      <w:marTop w:val="0"/>
      <w:marBottom w:val="0"/>
      <w:divBdr>
        <w:top w:val="none" w:sz="0" w:space="0" w:color="auto"/>
        <w:left w:val="none" w:sz="0" w:space="0" w:color="auto"/>
        <w:bottom w:val="none" w:sz="0" w:space="0" w:color="auto"/>
        <w:right w:val="none" w:sz="0" w:space="0" w:color="auto"/>
      </w:divBdr>
    </w:div>
    <w:div w:id="1533374739">
      <w:bodyDiv w:val="1"/>
      <w:marLeft w:val="0"/>
      <w:marRight w:val="0"/>
      <w:marTop w:val="0"/>
      <w:marBottom w:val="0"/>
      <w:divBdr>
        <w:top w:val="none" w:sz="0" w:space="0" w:color="auto"/>
        <w:left w:val="none" w:sz="0" w:space="0" w:color="auto"/>
        <w:bottom w:val="none" w:sz="0" w:space="0" w:color="auto"/>
        <w:right w:val="none" w:sz="0" w:space="0" w:color="auto"/>
      </w:divBdr>
    </w:div>
    <w:div w:id="1536888900">
      <w:bodyDiv w:val="1"/>
      <w:marLeft w:val="0"/>
      <w:marRight w:val="0"/>
      <w:marTop w:val="0"/>
      <w:marBottom w:val="0"/>
      <w:divBdr>
        <w:top w:val="none" w:sz="0" w:space="0" w:color="auto"/>
        <w:left w:val="none" w:sz="0" w:space="0" w:color="auto"/>
        <w:bottom w:val="none" w:sz="0" w:space="0" w:color="auto"/>
        <w:right w:val="none" w:sz="0" w:space="0" w:color="auto"/>
      </w:divBdr>
    </w:div>
    <w:div w:id="1539925264">
      <w:bodyDiv w:val="1"/>
      <w:marLeft w:val="0"/>
      <w:marRight w:val="0"/>
      <w:marTop w:val="0"/>
      <w:marBottom w:val="0"/>
      <w:divBdr>
        <w:top w:val="none" w:sz="0" w:space="0" w:color="auto"/>
        <w:left w:val="none" w:sz="0" w:space="0" w:color="auto"/>
        <w:bottom w:val="none" w:sz="0" w:space="0" w:color="auto"/>
        <w:right w:val="none" w:sz="0" w:space="0" w:color="auto"/>
      </w:divBdr>
    </w:div>
    <w:div w:id="1540360910">
      <w:bodyDiv w:val="1"/>
      <w:marLeft w:val="0"/>
      <w:marRight w:val="0"/>
      <w:marTop w:val="0"/>
      <w:marBottom w:val="0"/>
      <w:divBdr>
        <w:top w:val="none" w:sz="0" w:space="0" w:color="auto"/>
        <w:left w:val="none" w:sz="0" w:space="0" w:color="auto"/>
        <w:bottom w:val="none" w:sz="0" w:space="0" w:color="auto"/>
        <w:right w:val="none" w:sz="0" w:space="0" w:color="auto"/>
      </w:divBdr>
    </w:div>
    <w:div w:id="1540704470">
      <w:bodyDiv w:val="1"/>
      <w:marLeft w:val="0"/>
      <w:marRight w:val="0"/>
      <w:marTop w:val="0"/>
      <w:marBottom w:val="0"/>
      <w:divBdr>
        <w:top w:val="none" w:sz="0" w:space="0" w:color="auto"/>
        <w:left w:val="none" w:sz="0" w:space="0" w:color="auto"/>
        <w:bottom w:val="none" w:sz="0" w:space="0" w:color="auto"/>
        <w:right w:val="none" w:sz="0" w:space="0" w:color="auto"/>
      </w:divBdr>
    </w:div>
    <w:div w:id="1545824953">
      <w:bodyDiv w:val="1"/>
      <w:marLeft w:val="0"/>
      <w:marRight w:val="0"/>
      <w:marTop w:val="0"/>
      <w:marBottom w:val="0"/>
      <w:divBdr>
        <w:top w:val="none" w:sz="0" w:space="0" w:color="auto"/>
        <w:left w:val="none" w:sz="0" w:space="0" w:color="auto"/>
        <w:bottom w:val="none" w:sz="0" w:space="0" w:color="auto"/>
        <w:right w:val="none" w:sz="0" w:space="0" w:color="auto"/>
      </w:divBdr>
    </w:div>
    <w:div w:id="1556043901">
      <w:bodyDiv w:val="1"/>
      <w:marLeft w:val="0"/>
      <w:marRight w:val="0"/>
      <w:marTop w:val="0"/>
      <w:marBottom w:val="0"/>
      <w:divBdr>
        <w:top w:val="none" w:sz="0" w:space="0" w:color="auto"/>
        <w:left w:val="none" w:sz="0" w:space="0" w:color="auto"/>
        <w:bottom w:val="none" w:sz="0" w:space="0" w:color="auto"/>
        <w:right w:val="none" w:sz="0" w:space="0" w:color="auto"/>
      </w:divBdr>
    </w:div>
    <w:div w:id="1557861967">
      <w:bodyDiv w:val="1"/>
      <w:marLeft w:val="0"/>
      <w:marRight w:val="0"/>
      <w:marTop w:val="0"/>
      <w:marBottom w:val="0"/>
      <w:divBdr>
        <w:top w:val="none" w:sz="0" w:space="0" w:color="auto"/>
        <w:left w:val="none" w:sz="0" w:space="0" w:color="auto"/>
        <w:bottom w:val="none" w:sz="0" w:space="0" w:color="auto"/>
        <w:right w:val="none" w:sz="0" w:space="0" w:color="auto"/>
      </w:divBdr>
    </w:div>
    <w:div w:id="1559978381">
      <w:bodyDiv w:val="1"/>
      <w:marLeft w:val="0"/>
      <w:marRight w:val="0"/>
      <w:marTop w:val="0"/>
      <w:marBottom w:val="0"/>
      <w:divBdr>
        <w:top w:val="none" w:sz="0" w:space="0" w:color="auto"/>
        <w:left w:val="none" w:sz="0" w:space="0" w:color="auto"/>
        <w:bottom w:val="none" w:sz="0" w:space="0" w:color="auto"/>
        <w:right w:val="none" w:sz="0" w:space="0" w:color="auto"/>
      </w:divBdr>
    </w:div>
    <w:div w:id="1561860423">
      <w:bodyDiv w:val="1"/>
      <w:marLeft w:val="0"/>
      <w:marRight w:val="0"/>
      <w:marTop w:val="0"/>
      <w:marBottom w:val="0"/>
      <w:divBdr>
        <w:top w:val="none" w:sz="0" w:space="0" w:color="auto"/>
        <w:left w:val="none" w:sz="0" w:space="0" w:color="auto"/>
        <w:bottom w:val="none" w:sz="0" w:space="0" w:color="auto"/>
        <w:right w:val="none" w:sz="0" w:space="0" w:color="auto"/>
      </w:divBdr>
    </w:div>
    <w:div w:id="1571621017">
      <w:bodyDiv w:val="1"/>
      <w:marLeft w:val="0"/>
      <w:marRight w:val="0"/>
      <w:marTop w:val="0"/>
      <w:marBottom w:val="0"/>
      <w:divBdr>
        <w:top w:val="none" w:sz="0" w:space="0" w:color="auto"/>
        <w:left w:val="none" w:sz="0" w:space="0" w:color="auto"/>
        <w:bottom w:val="none" w:sz="0" w:space="0" w:color="auto"/>
        <w:right w:val="none" w:sz="0" w:space="0" w:color="auto"/>
      </w:divBdr>
    </w:div>
    <w:div w:id="1581253425">
      <w:bodyDiv w:val="1"/>
      <w:marLeft w:val="0"/>
      <w:marRight w:val="0"/>
      <w:marTop w:val="0"/>
      <w:marBottom w:val="0"/>
      <w:divBdr>
        <w:top w:val="none" w:sz="0" w:space="0" w:color="auto"/>
        <w:left w:val="none" w:sz="0" w:space="0" w:color="auto"/>
        <w:bottom w:val="none" w:sz="0" w:space="0" w:color="auto"/>
        <w:right w:val="none" w:sz="0" w:space="0" w:color="auto"/>
      </w:divBdr>
    </w:div>
    <w:div w:id="1584679894">
      <w:bodyDiv w:val="1"/>
      <w:marLeft w:val="0"/>
      <w:marRight w:val="0"/>
      <w:marTop w:val="0"/>
      <w:marBottom w:val="0"/>
      <w:divBdr>
        <w:top w:val="none" w:sz="0" w:space="0" w:color="auto"/>
        <w:left w:val="none" w:sz="0" w:space="0" w:color="auto"/>
        <w:bottom w:val="none" w:sz="0" w:space="0" w:color="auto"/>
        <w:right w:val="none" w:sz="0" w:space="0" w:color="auto"/>
      </w:divBdr>
    </w:div>
    <w:div w:id="1587038151">
      <w:bodyDiv w:val="1"/>
      <w:marLeft w:val="0"/>
      <w:marRight w:val="0"/>
      <w:marTop w:val="0"/>
      <w:marBottom w:val="0"/>
      <w:divBdr>
        <w:top w:val="none" w:sz="0" w:space="0" w:color="auto"/>
        <w:left w:val="none" w:sz="0" w:space="0" w:color="auto"/>
        <w:bottom w:val="none" w:sz="0" w:space="0" w:color="auto"/>
        <w:right w:val="none" w:sz="0" w:space="0" w:color="auto"/>
      </w:divBdr>
    </w:div>
    <w:div w:id="1588492702">
      <w:bodyDiv w:val="1"/>
      <w:marLeft w:val="0"/>
      <w:marRight w:val="0"/>
      <w:marTop w:val="0"/>
      <w:marBottom w:val="0"/>
      <w:divBdr>
        <w:top w:val="none" w:sz="0" w:space="0" w:color="auto"/>
        <w:left w:val="none" w:sz="0" w:space="0" w:color="auto"/>
        <w:bottom w:val="none" w:sz="0" w:space="0" w:color="auto"/>
        <w:right w:val="none" w:sz="0" w:space="0" w:color="auto"/>
      </w:divBdr>
    </w:div>
    <w:div w:id="1590968701">
      <w:bodyDiv w:val="1"/>
      <w:marLeft w:val="0"/>
      <w:marRight w:val="0"/>
      <w:marTop w:val="0"/>
      <w:marBottom w:val="0"/>
      <w:divBdr>
        <w:top w:val="none" w:sz="0" w:space="0" w:color="auto"/>
        <w:left w:val="none" w:sz="0" w:space="0" w:color="auto"/>
        <w:bottom w:val="none" w:sz="0" w:space="0" w:color="auto"/>
        <w:right w:val="none" w:sz="0" w:space="0" w:color="auto"/>
      </w:divBdr>
    </w:div>
    <w:div w:id="1600019172">
      <w:bodyDiv w:val="1"/>
      <w:marLeft w:val="0"/>
      <w:marRight w:val="0"/>
      <w:marTop w:val="0"/>
      <w:marBottom w:val="0"/>
      <w:divBdr>
        <w:top w:val="none" w:sz="0" w:space="0" w:color="auto"/>
        <w:left w:val="none" w:sz="0" w:space="0" w:color="auto"/>
        <w:bottom w:val="none" w:sz="0" w:space="0" w:color="auto"/>
        <w:right w:val="none" w:sz="0" w:space="0" w:color="auto"/>
      </w:divBdr>
    </w:div>
    <w:div w:id="1603025372">
      <w:bodyDiv w:val="1"/>
      <w:marLeft w:val="0"/>
      <w:marRight w:val="0"/>
      <w:marTop w:val="0"/>
      <w:marBottom w:val="0"/>
      <w:divBdr>
        <w:top w:val="none" w:sz="0" w:space="0" w:color="auto"/>
        <w:left w:val="none" w:sz="0" w:space="0" w:color="auto"/>
        <w:bottom w:val="none" w:sz="0" w:space="0" w:color="auto"/>
        <w:right w:val="none" w:sz="0" w:space="0" w:color="auto"/>
      </w:divBdr>
    </w:div>
    <w:div w:id="1603026259">
      <w:bodyDiv w:val="1"/>
      <w:marLeft w:val="0"/>
      <w:marRight w:val="0"/>
      <w:marTop w:val="0"/>
      <w:marBottom w:val="0"/>
      <w:divBdr>
        <w:top w:val="none" w:sz="0" w:space="0" w:color="auto"/>
        <w:left w:val="none" w:sz="0" w:space="0" w:color="auto"/>
        <w:bottom w:val="none" w:sz="0" w:space="0" w:color="auto"/>
        <w:right w:val="none" w:sz="0" w:space="0" w:color="auto"/>
      </w:divBdr>
    </w:div>
    <w:div w:id="1603880272">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1610088751">
      <w:bodyDiv w:val="1"/>
      <w:marLeft w:val="0"/>
      <w:marRight w:val="0"/>
      <w:marTop w:val="0"/>
      <w:marBottom w:val="0"/>
      <w:divBdr>
        <w:top w:val="none" w:sz="0" w:space="0" w:color="auto"/>
        <w:left w:val="none" w:sz="0" w:space="0" w:color="auto"/>
        <w:bottom w:val="none" w:sz="0" w:space="0" w:color="auto"/>
        <w:right w:val="none" w:sz="0" w:space="0" w:color="auto"/>
      </w:divBdr>
    </w:div>
    <w:div w:id="1626735952">
      <w:bodyDiv w:val="1"/>
      <w:marLeft w:val="0"/>
      <w:marRight w:val="0"/>
      <w:marTop w:val="0"/>
      <w:marBottom w:val="0"/>
      <w:divBdr>
        <w:top w:val="none" w:sz="0" w:space="0" w:color="auto"/>
        <w:left w:val="none" w:sz="0" w:space="0" w:color="auto"/>
        <w:bottom w:val="none" w:sz="0" w:space="0" w:color="auto"/>
        <w:right w:val="none" w:sz="0" w:space="0" w:color="auto"/>
      </w:divBdr>
    </w:div>
    <w:div w:id="1626933857">
      <w:bodyDiv w:val="1"/>
      <w:marLeft w:val="0"/>
      <w:marRight w:val="0"/>
      <w:marTop w:val="0"/>
      <w:marBottom w:val="0"/>
      <w:divBdr>
        <w:top w:val="none" w:sz="0" w:space="0" w:color="auto"/>
        <w:left w:val="none" w:sz="0" w:space="0" w:color="auto"/>
        <w:bottom w:val="none" w:sz="0" w:space="0" w:color="auto"/>
        <w:right w:val="none" w:sz="0" w:space="0" w:color="auto"/>
      </w:divBdr>
    </w:div>
    <w:div w:id="1638297295">
      <w:bodyDiv w:val="1"/>
      <w:marLeft w:val="0"/>
      <w:marRight w:val="0"/>
      <w:marTop w:val="0"/>
      <w:marBottom w:val="0"/>
      <w:divBdr>
        <w:top w:val="none" w:sz="0" w:space="0" w:color="auto"/>
        <w:left w:val="none" w:sz="0" w:space="0" w:color="auto"/>
        <w:bottom w:val="none" w:sz="0" w:space="0" w:color="auto"/>
        <w:right w:val="none" w:sz="0" w:space="0" w:color="auto"/>
      </w:divBdr>
    </w:div>
    <w:div w:id="1639531002">
      <w:bodyDiv w:val="1"/>
      <w:marLeft w:val="0"/>
      <w:marRight w:val="0"/>
      <w:marTop w:val="0"/>
      <w:marBottom w:val="0"/>
      <w:divBdr>
        <w:top w:val="none" w:sz="0" w:space="0" w:color="auto"/>
        <w:left w:val="none" w:sz="0" w:space="0" w:color="auto"/>
        <w:bottom w:val="none" w:sz="0" w:space="0" w:color="auto"/>
        <w:right w:val="none" w:sz="0" w:space="0" w:color="auto"/>
      </w:divBdr>
    </w:div>
    <w:div w:id="1653869764">
      <w:bodyDiv w:val="1"/>
      <w:marLeft w:val="0"/>
      <w:marRight w:val="0"/>
      <w:marTop w:val="0"/>
      <w:marBottom w:val="0"/>
      <w:divBdr>
        <w:top w:val="none" w:sz="0" w:space="0" w:color="auto"/>
        <w:left w:val="none" w:sz="0" w:space="0" w:color="auto"/>
        <w:bottom w:val="none" w:sz="0" w:space="0" w:color="auto"/>
        <w:right w:val="none" w:sz="0" w:space="0" w:color="auto"/>
      </w:divBdr>
    </w:div>
    <w:div w:id="1665234279">
      <w:bodyDiv w:val="1"/>
      <w:marLeft w:val="0"/>
      <w:marRight w:val="0"/>
      <w:marTop w:val="0"/>
      <w:marBottom w:val="0"/>
      <w:divBdr>
        <w:top w:val="none" w:sz="0" w:space="0" w:color="auto"/>
        <w:left w:val="none" w:sz="0" w:space="0" w:color="auto"/>
        <w:bottom w:val="none" w:sz="0" w:space="0" w:color="auto"/>
        <w:right w:val="none" w:sz="0" w:space="0" w:color="auto"/>
      </w:divBdr>
      <w:divsChild>
        <w:div w:id="1422407426">
          <w:marLeft w:val="0"/>
          <w:marRight w:val="0"/>
          <w:marTop w:val="0"/>
          <w:marBottom w:val="0"/>
          <w:divBdr>
            <w:top w:val="none" w:sz="0" w:space="0" w:color="auto"/>
            <w:left w:val="none" w:sz="0" w:space="0" w:color="auto"/>
            <w:bottom w:val="none" w:sz="0" w:space="0" w:color="auto"/>
            <w:right w:val="none" w:sz="0" w:space="0" w:color="auto"/>
          </w:divBdr>
        </w:div>
        <w:div w:id="1452045813">
          <w:marLeft w:val="0"/>
          <w:marRight w:val="0"/>
          <w:marTop w:val="0"/>
          <w:marBottom w:val="0"/>
          <w:divBdr>
            <w:top w:val="none" w:sz="0" w:space="0" w:color="auto"/>
            <w:left w:val="none" w:sz="0" w:space="0" w:color="auto"/>
            <w:bottom w:val="none" w:sz="0" w:space="0" w:color="auto"/>
            <w:right w:val="none" w:sz="0" w:space="0" w:color="auto"/>
          </w:divBdr>
        </w:div>
      </w:divsChild>
    </w:div>
    <w:div w:id="1672832886">
      <w:bodyDiv w:val="1"/>
      <w:marLeft w:val="0"/>
      <w:marRight w:val="0"/>
      <w:marTop w:val="0"/>
      <w:marBottom w:val="0"/>
      <w:divBdr>
        <w:top w:val="none" w:sz="0" w:space="0" w:color="auto"/>
        <w:left w:val="none" w:sz="0" w:space="0" w:color="auto"/>
        <w:bottom w:val="none" w:sz="0" w:space="0" w:color="auto"/>
        <w:right w:val="none" w:sz="0" w:space="0" w:color="auto"/>
      </w:divBdr>
    </w:div>
    <w:div w:id="1676296706">
      <w:bodyDiv w:val="1"/>
      <w:marLeft w:val="0"/>
      <w:marRight w:val="0"/>
      <w:marTop w:val="0"/>
      <w:marBottom w:val="0"/>
      <w:divBdr>
        <w:top w:val="none" w:sz="0" w:space="0" w:color="auto"/>
        <w:left w:val="none" w:sz="0" w:space="0" w:color="auto"/>
        <w:bottom w:val="none" w:sz="0" w:space="0" w:color="auto"/>
        <w:right w:val="none" w:sz="0" w:space="0" w:color="auto"/>
      </w:divBdr>
    </w:div>
    <w:div w:id="1679428478">
      <w:bodyDiv w:val="1"/>
      <w:marLeft w:val="0"/>
      <w:marRight w:val="0"/>
      <w:marTop w:val="0"/>
      <w:marBottom w:val="0"/>
      <w:divBdr>
        <w:top w:val="none" w:sz="0" w:space="0" w:color="auto"/>
        <w:left w:val="none" w:sz="0" w:space="0" w:color="auto"/>
        <w:bottom w:val="none" w:sz="0" w:space="0" w:color="auto"/>
        <w:right w:val="none" w:sz="0" w:space="0" w:color="auto"/>
      </w:divBdr>
    </w:div>
    <w:div w:id="1697583946">
      <w:bodyDiv w:val="1"/>
      <w:marLeft w:val="0"/>
      <w:marRight w:val="0"/>
      <w:marTop w:val="0"/>
      <w:marBottom w:val="0"/>
      <w:divBdr>
        <w:top w:val="none" w:sz="0" w:space="0" w:color="auto"/>
        <w:left w:val="none" w:sz="0" w:space="0" w:color="auto"/>
        <w:bottom w:val="none" w:sz="0" w:space="0" w:color="auto"/>
        <w:right w:val="none" w:sz="0" w:space="0" w:color="auto"/>
      </w:divBdr>
    </w:div>
    <w:div w:id="1710185029">
      <w:bodyDiv w:val="1"/>
      <w:marLeft w:val="0"/>
      <w:marRight w:val="0"/>
      <w:marTop w:val="0"/>
      <w:marBottom w:val="0"/>
      <w:divBdr>
        <w:top w:val="none" w:sz="0" w:space="0" w:color="auto"/>
        <w:left w:val="none" w:sz="0" w:space="0" w:color="auto"/>
        <w:bottom w:val="none" w:sz="0" w:space="0" w:color="auto"/>
        <w:right w:val="none" w:sz="0" w:space="0" w:color="auto"/>
      </w:divBdr>
    </w:div>
    <w:div w:id="1712069208">
      <w:bodyDiv w:val="1"/>
      <w:marLeft w:val="0"/>
      <w:marRight w:val="0"/>
      <w:marTop w:val="0"/>
      <w:marBottom w:val="0"/>
      <w:divBdr>
        <w:top w:val="none" w:sz="0" w:space="0" w:color="auto"/>
        <w:left w:val="none" w:sz="0" w:space="0" w:color="auto"/>
        <w:bottom w:val="none" w:sz="0" w:space="0" w:color="auto"/>
        <w:right w:val="none" w:sz="0" w:space="0" w:color="auto"/>
      </w:divBdr>
    </w:div>
    <w:div w:id="1719738826">
      <w:bodyDiv w:val="1"/>
      <w:marLeft w:val="0"/>
      <w:marRight w:val="0"/>
      <w:marTop w:val="0"/>
      <w:marBottom w:val="0"/>
      <w:divBdr>
        <w:top w:val="none" w:sz="0" w:space="0" w:color="auto"/>
        <w:left w:val="none" w:sz="0" w:space="0" w:color="auto"/>
        <w:bottom w:val="none" w:sz="0" w:space="0" w:color="auto"/>
        <w:right w:val="none" w:sz="0" w:space="0" w:color="auto"/>
      </w:divBdr>
    </w:div>
    <w:div w:id="1720738204">
      <w:bodyDiv w:val="1"/>
      <w:marLeft w:val="0"/>
      <w:marRight w:val="0"/>
      <w:marTop w:val="0"/>
      <w:marBottom w:val="0"/>
      <w:divBdr>
        <w:top w:val="none" w:sz="0" w:space="0" w:color="auto"/>
        <w:left w:val="none" w:sz="0" w:space="0" w:color="auto"/>
        <w:bottom w:val="none" w:sz="0" w:space="0" w:color="auto"/>
        <w:right w:val="none" w:sz="0" w:space="0" w:color="auto"/>
      </w:divBdr>
    </w:div>
    <w:div w:id="1723365240">
      <w:bodyDiv w:val="1"/>
      <w:marLeft w:val="0"/>
      <w:marRight w:val="0"/>
      <w:marTop w:val="0"/>
      <w:marBottom w:val="0"/>
      <w:divBdr>
        <w:top w:val="none" w:sz="0" w:space="0" w:color="auto"/>
        <w:left w:val="none" w:sz="0" w:space="0" w:color="auto"/>
        <w:bottom w:val="none" w:sz="0" w:space="0" w:color="auto"/>
        <w:right w:val="none" w:sz="0" w:space="0" w:color="auto"/>
      </w:divBdr>
    </w:div>
    <w:div w:id="1732263423">
      <w:bodyDiv w:val="1"/>
      <w:marLeft w:val="0"/>
      <w:marRight w:val="0"/>
      <w:marTop w:val="0"/>
      <w:marBottom w:val="0"/>
      <w:divBdr>
        <w:top w:val="none" w:sz="0" w:space="0" w:color="auto"/>
        <w:left w:val="none" w:sz="0" w:space="0" w:color="auto"/>
        <w:bottom w:val="none" w:sz="0" w:space="0" w:color="auto"/>
        <w:right w:val="none" w:sz="0" w:space="0" w:color="auto"/>
      </w:divBdr>
    </w:div>
    <w:div w:id="1734356373">
      <w:bodyDiv w:val="1"/>
      <w:marLeft w:val="0"/>
      <w:marRight w:val="0"/>
      <w:marTop w:val="0"/>
      <w:marBottom w:val="0"/>
      <w:divBdr>
        <w:top w:val="none" w:sz="0" w:space="0" w:color="auto"/>
        <w:left w:val="none" w:sz="0" w:space="0" w:color="auto"/>
        <w:bottom w:val="none" w:sz="0" w:space="0" w:color="auto"/>
        <w:right w:val="none" w:sz="0" w:space="0" w:color="auto"/>
      </w:divBdr>
    </w:div>
    <w:div w:id="1737774311">
      <w:bodyDiv w:val="1"/>
      <w:marLeft w:val="0"/>
      <w:marRight w:val="0"/>
      <w:marTop w:val="0"/>
      <w:marBottom w:val="0"/>
      <w:divBdr>
        <w:top w:val="none" w:sz="0" w:space="0" w:color="auto"/>
        <w:left w:val="none" w:sz="0" w:space="0" w:color="auto"/>
        <w:bottom w:val="none" w:sz="0" w:space="0" w:color="auto"/>
        <w:right w:val="none" w:sz="0" w:space="0" w:color="auto"/>
      </w:divBdr>
    </w:div>
    <w:div w:id="1742437900">
      <w:bodyDiv w:val="1"/>
      <w:marLeft w:val="0"/>
      <w:marRight w:val="0"/>
      <w:marTop w:val="0"/>
      <w:marBottom w:val="0"/>
      <w:divBdr>
        <w:top w:val="none" w:sz="0" w:space="0" w:color="auto"/>
        <w:left w:val="none" w:sz="0" w:space="0" w:color="auto"/>
        <w:bottom w:val="none" w:sz="0" w:space="0" w:color="auto"/>
        <w:right w:val="none" w:sz="0" w:space="0" w:color="auto"/>
      </w:divBdr>
    </w:div>
    <w:div w:id="1752048771">
      <w:bodyDiv w:val="1"/>
      <w:marLeft w:val="0"/>
      <w:marRight w:val="0"/>
      <w:marTop w:val="0"/>
      <w:marBottom w:val="0"/>
      <w:divBdr>
        <w:top w:val="none" w:sz="0" w:space="0" w:color="auto"/>
        <w:left w:val="none" w:sz="0" w:space="0" w:color="auto"/>
        <w:bottom w:val="none" w:sz="0" w:space="0" w:color="auto"/>
        <w:right w:val="none" w:sz="0" w:space="0" w:color="auto"/>
      </w:divBdr>
    </w:div>
    <w:div w:id="1754086510">
      <w:bodyDiv w:val="1"/>
      <w:marLeft w:val="0"/>
      <w:marRight w:val="0"/>
      <w:marTop w:val="0"/>
      <w:marBottom w:val="0"/>
      <w:divBdr>
        <w:top w:val="none" w:sz="0" w:space="0" w:color="auto"/>
        <w:left w:val="none" w:sz="0" w:space="0" w:color="auto"/>
        <w:bottom w:val="none" w:sz="0" w:space="0" w:color="auto"/>
        <w:right w:val="none" w:sz="0" w:space="0" w:color="auto"/>
      </w:divBdr>
    </w:div>
    <w:div w:id="1756319226">
      <w:bodyDiv w:val="1"/>
      <w:marLeft w:val="0"/>
      <w:marRight w:val="0"/>
      <w:marTop w:val="0"/>
      <w:marBottom w:val="0"/>
      <w:divBdr>
        <w:top w:val="none" w:sz="0" w:space="0" w:color="auto"/>
        <w:left w:val="none" w:sz="0" w:space="0" w:color="auto"/>
        <w:bottom w:val="none" w:sz="0" w:space="0" w:color="auto"/>
        <w:right w:val="none" w:sz="0" w:space="0" w:color="auto"/>
      </w:divBdr>
    </w:div>
    <w:div w:id="1760591267">
      <w:bodyDiv w:val="1"/>
      <w:marLeft w:val="0"/>
      <w:marRight w:val="0"/>
      <w:marTop w:val="0"/>
      <w:marBottom w:val="0"/>
      <w:divBdr>
        <w:top w:val="none" w:sz="0" w:space="0" w:color="auto"/>
        <w:left w:val="none" w:sz="0" w:space="0" w:color="auto"/>
        <w:bottom w:val="none" w:sz="0" w:space="0" w:color="auto"/>
        <w:right w:val="none" w:sz="0" w:space="0" w:color="auto"/>
      </w:divBdr>
    </w:div>
    <w:div w:id="1769234332">
      <w:bodyDiv w:val="1"/>
      <w:marLeft w:val="0"/>
      <w:marRight w:val="0"/>
      <w:marTop w:val="0"/>
      <w:marBottom w:val="0"/>
      <w:divBdr>
        <w:top w:val="none" w:sz="0" w:space="0" w:color="auto"/>
        <w:left w:val="none" w:sz="0" w:space="0" w:color="auto"/>
        <w:bottom w:val="none" w:sz="0" w:space="0" w:color="auto"/>
        <w:right w:val="none" w:sz="0" w:space="0" w:color="auto"/>
      </w:divBdr>
    </w:div>
    <w:div w:id="1780640138">
      <w:bodyDiv w:val="1"/>
      <w:marLeft w:val="0"/>
      <w:marRight w:val="0"/>
      <w:marTop w:val="0"/>
      <w:marBottom w:val="0"/>
      <w:divBdr>
        <w:top w:val="none" w:sz="0" w:space="0" w:color="auto"/>
        <w:left w:val="none" w:sz="0" w:space="0" w:color="auto"/>
        <w:bottom w:val="none" w:sz="0" w:space="0" w:color="auto"/>
        <w:right w:val="none" w:sz="0" w:space="0" w:color="auto"/>
      </w:divBdr>
    </w:div>
    <w:div w:id="1787308851">
      <w:bodyDiv w:val="1"/>
      <w:marLeft w:val="0"/>
      <w:marRight w:val="0"/>
      <w:marTop w:val="0"/>
      <w:marBottom w:val="0"/>
      <w:divBdr>
        <w:top w:val="none" w:sz="0" w:space="0" w:color="auto"/>
        <w:left w:val="none" w:sz="0" w:space="0" w:color="auto"/>
        <w:bottom w:val="none" w:sz="0" w:space="0" w:color="auto"/>
        <w:right w:val="none" w:sz="0" w:space="0" w:color="auto"/>
      </w:divBdr>
    </w:div>
    <w:div w:id="1796484264">
      <w:bodyDiv w:val="1"/>
      <w:marLeft w:val="0"/>
      <w:marRight w:val="0"/>
      <w:marTop w:val="0"/>
      <w:marBottom w:val="0"/>
      <w:divBdr>
        <w:top w:val="none" w:sz="0" w:space="0" w:color="auto"/>
        <w:left w:val="none" w:sz="0" w:space="0" w:color="auto"/>
        <w:bottom w:val="none" w:sz="0" w:space="0" w:color="auto"/>
        <w:right w:val="none" w:sz="0" w:space="0" w:color="auto"/>
      </w:divBdr>
    </w:div>
    <w:div w:id="1802723782">
      <w:bodyDiv w:val="1"/>
      <w:marLeft w:val="0"/>
      <w:marRight w:val="0"/>
      <w:marTop w:val="0"/>
      <w:marBottom w:val="0"/>
      <w:divBdr>
        <w:top w:val="none" w:sz="0" w:space="0" w:color="auto"/>
        <w:left w:val="none" w:sz="0" w:space="0" w:color="auto"/>
        <w:bottom w:val="none" w:sz="0" w:space="0" w:color="auto"/>
        <w:right w:val="none" w:sz="0" w:space="0" w:color="auto"/>
      </w:divBdr>
    </w:div>
    <w:div w:id="1810054697">
      <w:bodyDiv w:val="1"/>
      <w:marLeft w:val="0"/>
      <w:marRight w:val="0"/>
      <w:marTop w:val="0"/>
      <w:marBottom w:val="0"/>
      <w:divBdr>
        <w:top w:val="none" w:sz="0" w:space="0" w:color="auto"/>
        <w:left w:val="none" w:sz="0" w:space="0" w:color="auto"/>
        <w:bottom w:val="none" w:sz="0" w:space="0" w:color="auto"/>
        <w:right w:val="none" w:sz="0" w:space="0" w:color="auto"/>
      </w:divBdr>
    </w:div>
    <w:div w:id="1814903362">
      <w:bodyDiv w:val="1"/>
      <w:marLeft w:val="0"/>
      <w:marRight w:val="0"/>
      <w:marTop w:val="0"/>
      <w:marBottom w:val="0"/>
      <w:divBdr>
        <w:top w:val="none" w:sz="0" w:space="0" w:color="auto"/>
        <w:left w:val="none" w:sz="0" w:space="0" w:color="auto"/>
        <w:bottom w:val="none" w:sz="0" w:space="0" w:color="auto"/>
        <w:right w:val="none" w:sz="0" w:space="0" w:color="auto"/>
      </w:divBdr>
    </w:div>
    <w:div w:id="1833328103">
      <w:bodyDiv w:val="1"/>
      <w:marLeft w:val="0"/>
      <w:marRight w:val="0"/>
      <w:marTop w:val="0"/>
      <w:marBottom w:val="0"/>
      <w:divBdr>
        <w:top w:val="none" w:sz="0" w:space="0" w:color="auto"/>
        <w:left w:val="none" w:sz="0" w:space="0" w:color="auto"/>
        <w:bottom w:val="none" w:sz="0" w:space="0" w:color="auto"/>
        <w:right w:val="none" w:sz="0" w:space="0" w:color="auto"/>
      </w:divBdr>
    </w:div>
    <w:div w:id="1834831923">
      <w:bodyDiv w:val="1"/>
      <w:marLeft w:val="0"/>
      <w:marRight w:val="0"/>
      <w:marTop w:val="0"/>
      <w:marBottom w:val="0"/>
      <w:divBdr>
        <w:top w:val="none" w:sz="0" w:space="0" w:color="auto"/>
        <w:left w:val="none" w:sz="0" w:space="0" w:color="auto"/>
        <w:bottom w:val="none" w:sz="0" w:space="0" w:color="auto"/>
        <w:right w:val="none" w:sz="0" w:space="0" w:color="auto"/>
      </w:divBdr>
    </w:div>
    <w:div w:id="1837182951">
      <w:bodyDiv w:val="1"/>
      <w:marLeft w:val="0"/>
      <w:marRight w:val="0"/>
      <w:marTop w:val="0"/>
      <w:marBottom w:val="0"/>
      <w:divBdr>
        <w:top w:val="none" w:sz="0" w:space="0" w:color="auto"/>
        <w:left w:val="none" w:sz="0" w:space="0" w:color="auto"/>
        <w:bottom w:val="none" w:sz="0" w:space="0" w:color="auto"/>
        <w:right w:val="none" w:sz="0" w:space="0" w:color="auto"/>
      </w:divBdr>
    </w:div>
    <w:div w:id="1843279540">
      <w:bodyDiv w:val="1"/>
      <w:marLeft w:val="0"/>
      <w:marRight w:val="0"/>
      <w:marTop w:val="0"/>
      <w:marBottom w:val="0"/>
      <w:divBdr>
        <w:top w:val="none" w:sz="0" w:space="0" w:color="auto"/>
        <w:left w:val="none" w:sz="0" w:space="0" w:color="auto"/>
        <w:bottom w:val="none" w:sz="0" w:space="0" w:color="auto"/>
        <w:right w:val="none" w:sz="0" w:space="0" w:color="auto"/>
      </w:divBdr>
    </w:div>
    <w:div w:id="1847553633">
      <w:bodyDiv w:val="1"/>
      <w:marLeft w:val="0"/>
      <w:marRight w:val="0"/>
      <w:marTop w:val="0"/>
      <w:marBottom w:val="0"/>
      <w:divBdr>
        <w:top w:val="none" w:sz="0" w:space="0" w:color="auto"/>
        <w:left w:val="none" w:sz="0" w:space="0" w:color="auto"/>
        <w:bottom w:val="none" w:sz="0" w:space="0" w:color="auto"/>
        <w:right w:val="none" w:sz="0" w:space="0" w:color="auto"/>
      </w:divBdr>
    </w:div>
    <w:div w:id="1849521986">
      <w:bodyDiv w:val="1"/>
      <w:marLeft w:val="0"/>
      <w:marRight w:val="0"/>
      <w:marTop w:val="0"/>
      <w:marBottom w:val="0"/>
      <w:divBdr>
        <w:top w:val="none" w:sz="0" w:space="0" w:color="auto"/>
        <w:left w:val="none" w:sz="0" w:space="0" w:color="auto"/>
        <w:bottom w:val="none" w:sz="0" w:space="0" w:color="auto"/>
        <w:right w:val="none" w:sz="0" w:space="0" w:color="auto"/>
      </w:divBdr>
    </w:div>
    <w:div w:id="1855193840">
      <w:bodyDiv w:val="1"/>
      <w:marLeft w:val="0"/>
      <w:marRight w:val="0"/>
      <w:marTop w:val="0"/>
      <w:marBottom w:val="0"/>
      <w:divBdr>
        <w:top w:val="none" w:sz="0" w:space="0" w:color="auto"/>
        <w:left w:val="none" w:sz="0" w:space="0" w:color="auto"/>
        <w:bottom w:val="none" w:sz="0" w:space="0" w:color="auto"/>
        <w:right w:val="none" w:sz="0" w:space="0" w:color="auto"/>
      </w:divBdr>
    </w:div>
    <w:div w:id="1864704651">
      <w:bodyDiv w:val="1"/>
      <w:marLeft w:val="0"/>
      <w:marRight w:val="0"/>
      <w:marTop w:val="0"/>
      <w:marBottom w:val="0"/>
      <w:divBdr>
        <w:top w:val="none" w:sz="0" w:space="0" w:color="auto"/>
        <w:left w:val="none" w:sz="0" w:space="0" w:color="auto"/>
        <w:bottom w:val="none" w:sz="0" w:space="0" w:color="auto"/>
        <w:right w:val="none" w:sz="0" w:space="0" w:color="auto"/>
      </w:divBdr>
    </w:div>
    <w:div w:id="1868172474">
      <w:bodyDiv w:val="1"/>
      <w:marLeft w:val="0"/>
      <w:marRight w:val="0"/>
      <w:marTop w:val="0"/>
      <w:marBottom w:val="0"/>
      <w:divBdr>
        <w:top w:val="none" w:sz="0" w:space="0" w:color="auto"/>
        <w:left w:val="none" w:sz="0" w:space="0" w:color="auto"/>
        <w:bottom w:val="none" w:sz="0" w:space="0" w:color="auto"/>
        <w:right w:val="none" w:sz="0" w:space="0" w:color="auto"/>
      </w:divBdr>
    </w:div>
    <w:div w:id="1869223329">
      <w:bodyDiv w:val="1"/>
      <w:marLeft w:val="0"/>
      <w:marRight w:val="0"/>
      <w:marTop w:val="0"/>
      <w:marBottom w:val="0"/>
      <w:divBdr>
        <w:top w:val="none" w:sz="0" w:space="0" w:color="auto"/>
        <w:left w:val="none" w:sz="0" w:space="0" w:color="auto"/>
        <w:bottom w:val="none" w:sz="0" w:space="0" w:color="auto"/>
        <w:right w:val="none" w:sz="0" w:space="0" w:color="auto"/>
      </w:divBdr>
    </w:div>
    <w:div w:id="1875456988">
      <w:bodyDiv w:val="1"/>
      <w:marLeft w:val="0"/>
      <w:marRight w:val="0"/>
      <w:marTop w:val="0"/>
      <w:marBottom w:val="0"/>
      <w:divBdr>
        <w:top w:val="none" w:sz="0" w:space="0" w:color="auto"/>
        <w:left w:val="none" w:sz="0" w:space="0" w:color="auto"/>
        <w:bottom w:val="none" w:sz="0" w:space="0" w:color="auto"/>
        <w:right w:val="none" w:sz="0" w:space="0" w:color="auto"/>
      </w:divBdr>
    </w:div>
    <w:div w:id="1876968057">
      <w:bodyDiv w:val="1"/>
      <w:marLeft w:val="0"/>
      <w:marRight w:val="0"/>
      <w:marTop w:val="0"/>
      <w:marBottom w:val="0"/>
      <w:divBdr>
        <w:top w:val="none" w:sz="0" w:space="0" w:color="auto"/>
        <w:left w:val="none" w:sz="0" w:space="0" w:color="auto"/>
        <w:bottom w:val="none" w:sz="0" w:space="0" w:color="auto"/>
        <w:right w:val="none" w:sz="0" w:space="0" w:color="auto"/>
      </w:divBdr>
    </w:div>
    <w:div w:id="1892182629">
      <w:bodyDiv w:val="1"/>
      <w:marLeft w:val="0"/>
      <w:marRight w:val="0"/>
      <w:marTop w:val="0"/>
      <w:marBottom w:val="0"/>
      <w:divBdr>
        <w:top w:val="none" w:sz="0" w:space="0" w:color="auto"/>
        <w:left w:val="none" w:sz="0" w:space="0" w:color="auto"/>
        <w:bottom w:val="none" w:sz="0" w:space="0" w:color="auto"/>
        <w:right w:val="none" w:sz="0" w:space="0" w:color="auto"/>
      </w:divBdr>
    </w:div>
    <w:div w:id="1897930306">
      <w:bodyDiv w:val="1"/>
      <w:marLeft w:val="0"/>
      <w:marRight w:val="0"/>
      <w:marTop w:val="0"/>
      <w:marBottom w:val="0"/>
      <w:divBdr>
        <w:top w:val="none" w:sz="0" w:space="0" w:color="auto"/>
        <w:left w:val="none" w:sz="0" w:space="0" w:color="auto"/>
        <w:bottom w:val="none" w:sz="0" w:space="0" w:color="auto"/>
        <w:right w:val="none" w:sz="0" w:space="0" w:color="auto"/>
      </w:divBdr>
    </w:div>
    <w:div w:id="1899128325">
      <w:bodyDiv w:val="1"/>
      <w:marLeft w:val="0"/>
      <w:marRight w:val="0"/>
      <w:marTop w:val="0"/>
      <w:marBottom w:val="0"/>
      <w:divBdr>
        <w:top w:val="none" w:sz="0" w:space="0" w:color="auto"/>
        <w:left w:val="none" w:sz="0" w:space="0" w:color="auto"/>
        <w:bottom w:val="none" w:sz="0" w:space="0" w:color="auto"/>
        <w:right w:val="none" w:sz="0" w:space="0" w:color="auto"/>
      </w:divBdr>
    </w:div>
    <w:div w:id="1901939761">
      <w:bodyDiv w:val="1"/>
      <w:marLeft w:val="0"/>
      <w:marRight w:val="0"/>
      <w:marTop w:val="0"/>
      <w:marBottom w:val="0"/>
      <w:divBdr>
        <w:top w:val="none" w:sz="0" w:space="0" w:color="auto"/>
        <w:left w:val="none" w:sz="0" w:space="0" w:color="auto"/>
        <w:bottom w:val="none" w:sz="0" w:space="0" w:color="auto"/>
        <w:right w:val="none" w:sz="0" w:space="0" w:color="auto"/>
      </w:divBdr>
    </w:div>
    <w:div w:id="1903758600">
      <w:bodyDiv w:val="1"/>
      <w:marLeft w:val="0"/>
      <w:marRight w:val="0"/>
      <w:marTop w:val="0"/>
      <w:marBottom w:val="0"/>
      <w:divBdr>
        <w:top w:val="none" w:sz="0" w:space="0" w:color="auto"/>
        <w:left w:val="none" w:sz="0" w:space="0" w:color="auto"/>
        <w:bottom w:val="none" w:sz="0" w:space="0" w:color="auto"/>
        <w:right w:val="none" w:sz="0" w:space="0" w:color="auto"/>
      </w:divBdr>
    </w:div>
    <w:div w:id="1904362862">
      <w:bodyDiv w:val="1"/>
      <w:marLeft w:val="0"/>
      <w:marRight w:val="0"/>
      <w:marTop w:val="0"/>
      <w:marBottom w:val="0"/>
      <w:divBdr>
        <w:top w:val="none" w:sz="0" w:space="0" w:color="auto"/>
        <w:left w:val="none" w:sz="0" w:space="0" w:color="auto"/>
        <w:bottom w:val="none" w:sz="0" w:space="0" w:color="auto"/>
        <w:right w:val="none" w:sz="0" w:space="0" w:color="auto"/>
      </w:divBdr>
    </w:div>
    <w:div w:id="1905290561">
      <w:bodyDiv w:val="1"/>
      <w:marLeft w:val="0"/>
      <w:marRight w:val="0"/>
      <w:marTop w:val="0"/>
      <w:marBottom w:val="0"/>
      <w:divBdr>
        <w:top w:val="none" w:sz="0" w:space="0" w:color="auto"/>
        <w:left w:val="none" w:sz="0" w:space="0" w:color="auto"/>
        <w:bottom w:val="none" w:sz="0" w:space="0" w:color="auto"/>
        <w:right w:val="none" w:sz="0" w:space="0" w:color="auto"/>
      </w:divBdr>
    </w:div>
    <w:div w:id="1907183685">
      <w:bodyDiv w:val="1"/>
      <w:marLeft w:val="0"/>
      <w:marRight w:val="0"/>
      <w:marTop w:val="0"/>
      <w:marBottom w:val="0"/>
      <w:divBdr>
        <w:top w:val="none" w:sz="0" w:space="0" w:color="auto"/>
        <w:left w:val="none" w:sz="0" w:space="0" w:color="auto"/>
        <w:bottom w:val="none" w:sz="0" w:space="0" w:color="auto"/>
        <w:right w:val="none" w:sz="0" w:space="0" w:color="auto"/>
      </w:divBdr>
    </w:div>
    <w:div w:id="1915704340">
      <w:bodyDiv w:val="1"/>
      <w:marLeft w:val="0"/>
      <w:marRight w:val="0"/>
      <w:marTop w:val="0"/>
      <w:marBottom w:val="0"/>
      <w:divBdr>
        <w:top w:val="none" w:sz="0" w:space="0" w:color="auto"/>
        <w:left w:val="none" w:sz="0" w:space="0" w:color="auto"/>
        <w:bottom w:val="none" w:sz="0" w:space="0" w:color="auto"/>
        <w:right w:val="none" w:sz="0" w:space="0" w:color="auto"/>
      </w:divBdr>
      <w:divsChild>
        <w:div w:id="862128627">
          <w:marLeft w:val="0"/>
          <w:marRight w:val="0"/>
          <w:marTop w:val="0"/>
          <w:marBottom w:val="0"/>
          <w:divBdr>
            <w:top w:val="none" w:sz="0" w:space="0" w:color="auto"/>
            <w:left w:val="none" w:sz="0" w:space="0" w:color="auto"/>
            <w:bottom w:val="none" w:sz="0" w:space="0" w:color="auto"/>
            <w:right w:val="none" w:sz="0" w:space="0" w:color="auto"/>
          </w:divBdr>
        </w:div>
        <w:div w:id="1103914264">
          <w:marLeft w:val="0"/>
          <w:marRight w:val="0"/>
          <w:marTop w:val="0"/>
          <w:marBottom w:val="0"/>
          <w:divBdr>
            <w:top w:val="none" w:sz="0" w:space="0" w:color="auto"/>
            <w:left w:val="none" w:sz="0" w:space="0" w:color="auto"/>
            <w:bottom w:val="none" w:sz="0" w:space="0" w:color="auto"/>
            <w:right w:val="none" w:sz="0" w:space="0" w:color="auto"/>
          </w:divBdr>
        </w:div>
      </w:divsChild>
    </w:div>
    <w:div w:id="1924950264">
      <w:bodyDiv w:val="1"/>
      <w:marLeft w:val="0"/>
      <w:marRight w:val="0"/>
      <w:marTop w:val="0"/>
      <w:marBottom w:val="0"/>
      <w:divBdr>
        <w:top w:val="none" w:sz="0" w:space="0" w:color="auto"/>
        <w:left w:val="none" w:sz="0" w:space="0" w:color="auto"/>
        <w:bottom w:val="none" w:sz="0" w:space="0" w:color="auto"/>
        <w:right w:val="none" w:sz="0" w:space="0" w:color="auto"/>
      </w:divBdr>
    </w:div>
    <w:div w:id="1925799921">
      <w:bodyDiv w:val="1"/>
      <w:marLeft w:val="0"/>
      <w:marRight w:val="0"/>
      <w:marTop w:val="0"/>
      <w:marBottom w:val="0"/>
      <w:divBdr>
        <w:top w:val="none" w:sz="0" w:space="0" w:color="auto"/>
        <w:left w:val="none" w:sz="0" w:space="0" w:color="auto"/>
        <w:bottom w:val="none" w:sz="0" w:space="0" w:color="auto"/>
        <w:right w:val="none" w:sz="0" w:space="0" w:color="auto"/>
      </w:divBdr>
    </w:div>
    <w:div w:id="1928228801">
      <w:bodyDiv w:val="1"/>
      <w:marLeft w:val="0"/>
      <w:marRight w:val="0"/>
      <w:marTop w:val="0"/>
      <w:marBottom w:val="0"/>
      <w:divBdr>
        <w:top w:val="none" w:sz="0" w:space="0" w:color="auto"/>
        <w:left w:val="none" w:sz="0" w:space="0" w:color="auto"/>
        <w:bottom w:val="none" w:sz="0" w:space="0" w:color="auto"/>
        <w:right w:val="none" w:sz="0" w:space="0" w:color="auto"/>
      </w:divBdr>
    </w:div>
    <w:div w:id="1929998968">
      <w:bodyDiv w:val="1"/>
      <w:marLeft w:val="0"/>
      <w:marRight w:val="0"/>
      <w:marTop w:val="0"/>
      <w:marBottom w:val="0"/>
      <w:divBdr>
        <w:top w:val="none" w:sz="0" w:space="0" w:color="auto"/>
        <w:left w:val="none" w:sz="0" w:space="0" w:color="auto"/>
        <w:bottom w:val="none" w:sz="0" w:space="0" w:color="auto"/>
        <w:right w:val="none" w:sz="0" w:space="0" w:color="auto"/>
      </w:divBdr>
    </w:div>
    <w:div w:id="1932202772">
      <w:bodyDiv w:val="1"/>
      <w:marLeft w:val="0"/>
      <w:marRight w:val="0"/>
      <w:marTop w:val="0"/>
      <w:marBottom w:val="0"/>
      <w:divBdr>
        <w:top w:val="none" w:sz="0" w:space="0" w:color="auto"/>
        <w:left w:val="none" w:sz="0" w:space="0" w:color="auto"/>
        <w:bottom w:val="none" w:sz="0" w:space="0" w:color="auto"/>
        <w:right w:val="none" w:sz="0" w:space="0" w:color="auto"/>
      </w:divBdr>
    </w:div>
    <w:div w:id="1937664119">
      <w:bodyDiv w:val="1"/>
      <w:marLeft w:val="0"/>
      <w:marRight w:val="0"/>
      <w:marTop w:val="0"/>
      <w:marBottom w:val="0"/>
      <w:divBdr>
        <w:top w:val="none" w:sz="0" w:space="0" w:color="auto"/>
        <w:left w:val="none" w:sz="0" w:space="0" w:color="auto"/>
        <w:bottom w:val="none" w:sz="0" w:space="0" w:color="auto"/>
        <w:right w:val="none" w:sz="0" w:space="0" w:color="auto"/>
      </w:divBdr>
    </w:div>
    <w:div w:id="1951887119">
      <w:bodyDiv w:val="1"/>
      <w:marLeft w:val="0"/>
      <w:marRight w:val="0"/>
      <w:marTop w:val="0"/>
      <w:marBottom w:val="0"/>
      <w:divBdr>
        <w:top w:val="none" w:sz="0" w:space="0" w:color="auto"/>
        <w:left w:val="none" w:sz="0" w:space="0" w:color="auto"/>
        <w:bottom w:val="none" w:sz="0" w:space="0" w:color="auto"/>
        <w:right w:val="none" w:sz="0" w:space="0" w:color="auto"/>
      </w:divBdr>
    </w:div>
    <w:div w:id="1958101152">
      <w:bodyDiv w:val="1"/>
      <w:marLeft w:val="0"/>
      <w:marRight w:val="0"/>
      <w:marTop w:val="0"/>
      <w:marBottom w:val="0"/>
      <w:divBdr>
        <w:top w:val="none" w:sz="0" w:space="0" w:color="auto"/>
        <w:left w:val="none" w:sz="0" w:space="0" w:color="auto"/>
        <w:bottom w:val="none" w:sz="0" w:space="0" w:color="auto"/>
        <w:right w:val="none" w:sz="0" w:space="0" w:color="auto"/>
      </w:divBdr>
    </w:div>
    <w:div w:id="1958178720">
      <w:bodyDiv w:val="1"/>
      <w:marLeft w:val="0"/>
      <w:marRight w:val="0"/>
      <w:marTop w:val="0"/>
      <w:marBottom w:val="0"/>
      <w:divBdr>
        <w:top w:val="none" w:sz="0" w:space="0" w:color="auto"/>
        <w:left w:val="none" w:sz="0" w:space="0" w:color="auto"/>
        <w:bottom w:val="none" w:sz="0" w:space="0" w:color="auto"/>
        <w:right w:val="none" w:sz="0" w:space="0" w:color="auto"/>
      </w:divBdr>
    </w:div>
    <w:div w:id="1967925097">
      <w:bodyDiv w:val="1"/>
      <w:marLeft w:val="0"/>
      <w:marRight w:val="0"/>
      <w:marTop w:val="0"/>
      <w:marBottom w:val="0"/>
      <w:divBdr>
        <w:top w:val="none" w:sz="0" w:space="0" w:color="auto"/>
        <w:left w:val="none" w:sz="0" w:space="0" w:color="auto"/>
        <w:bottom w:val="none" w:sz="0" w:space="0" w:color="auto"/>
        <w:right w:val="none" w:sz="0" w:space="0" w:color="auto"/>
      </w:divBdr>
    </w:div>
    <w:div w:id="1974870700">
      <w:bodyDiv w:val="1"/>
      <w:marLeft w:val="0"/>
      <w:marRight w:val="0"/>
      <w:marTop w:val="0"/>
      <w:marBottom w:val="0"/>
      <w:divBdr>
        <w:top w:val="none" w:sz="0" w:space="0" w:color="auto"/>
        <w:left w:val="none" w:sz="0" w:space="0" w:color="auto"/>
        <w:bottom w:val="none" w:sz="0" w:space="0" w:color="auto"/>
        <w:right w:val="none" w:sz="0" w:space="0" w:color="auto"/>
      </w:divBdr>
    </w:div>
    <w:div w:id="1981957288">
      <w:bodyDiv w:val="1"/>
      <w:marLeft w:val="0"/>
      <w:marRight w:val="0"/>
      <w:marTop w:val="0"/>
      <w:marBottom w:val="0"/>
      <w:divBdr>
        <w:top w:val="none" w:sz="0" w:space="0" w:color="auto"/>
        <w:left w:val="none" w:sz="0" w:space="0" w:color="auto"/>
        <w:bottom w:val="none" w:sz="0" w:space="0" w:color="auto"/>
        <w:right w:val="none" w:sz="0" w:space="0" w:color="auto"/>
      </w:divBdr>
    </w:div>
    <w:div w:id="1989435841">
      <w:bodyDiv w:val="1"/>
      <w:marLeft w:val="0"/>
      <w:marRight w:val="0"/>
      <w:marTop w:val="0"/>
      <w:marBottom w:val="0"/>
      <w:divBdr>
        <w:top w:val="none" w:sz="0" w:space="0" w:color="auto"/>
        <w:left w:val="none" w:sz="0" w:space="0" w:color="auto"/>
        <w:bottom w:val="none" w:sz="0" w:space="0" w:color="auto"/>
        <w:right w:val="none" w:sz="0" w:space="0" w:color="auto"/>
      </w:divBdr>
    </w:div>
    <w:div w:id="1991398155">
      <w:bodyDiv w:val="1"/>
      <w:marLeft w:val="0"/>
      <w:marRight w:val="0"/>
      <w:marTop w:val="0"/>
      <w:marBottom w:val="0"/>
      <w:divBdr>
        <w:top w:val="none" w:sz="0" w:space="0" w:color="auto"/>
        <w:left w:val="none" w:sz="0" w:space="0" w:color="auto"/>
        <w:bottom w:val="none" w:sz="0" w:space="0" w:color="auto"/>
        <w:right w:val="none" w:sz="0" w:space="0" w:color="auto"/>
      </w:divBdr>
    </w:div>
    <w:div w:id="1996838869">
      <w:bodyDiv w:val="1"/>
      <w:marLeft w:val="0"/>
      <w:marRight w:val="0"/>
      <w:marTop w:val="0"/>
      <w:marBottom w:val="0"/>
      <w:divBdr>
        <w:top w:val="none" w:sz="0" w:space="0" w:color="auto"/>
        <w:left w:val="none" w:sz="0" w:space="0" w:color="auto"/>
        <w:bottom w:val="none" w:sz="0" w:space="0" w:color="auto"/>
        <w:right w:val="none" w:sz="0" w:space="0" w:color="auto"/>
      </w:divBdr>
    </w:div>
    <w:div w:id="2012487344">
      <w:bodyDiv w:val="1"/>
      <w:marLeft w:val="0"/>
      <w:marRight w:val="0"/>
      <w:marTop w:val="0"/>
      <w:marBottom w:val="0"/>
      <w:divBdr>
        <w:top w:val="none" w:sz="0" w:space="0" w:color="auto"/>
        <w:left w:val="none" w:sz="0" w:space="0" w:color="auto"/>
        <w:bottom w:val="none" w:sz="0" w:space="0" w:color="auto"/>
        <w:right w:val="none" w:sz="0" w:space="0" w:color="auto"/>
      </w:divBdr>
    </w:div>
    <w:div w:id="2019892162">
      <w:bodyDiv w:val="1"/>
      <w:marLeft w:val="0"/>
      <w:marRight w:val="0"/>
      <w:marTop w:val="0"/>
      <w:marBottom w:val="0"/>
      <w:divBdr>
        <w:top w:val="none" w:sz="0" w:space="0" w:color="auto"/>
        <w:left w:val="none" w:sz="0" w:space="0" w:color="auto"/>
        <w:bottom w:val="none" w:sz="0" w:space="0" w:color="auto"/>
        <w:right w:val="none" w:sz="0" w:space="0" w:color="auto"/>
      </w:divBdr>
    </w:div>
    <w:div w:id="2020737120">
      <w:bodyDiv w:val="1"/>
      <w:marLeft w:val="0"/>
      <w:marRight w:val="0"/>
      <w:marTop w:val="0"/>
      <w:marBottom w:val="0"/>
      <w:divBdr>
        <w:top w:val="none" w:sz="0" w:space="0" w:color="auto"/>
        <w:left w:val="none" w:sz="0" w:space="0" w:color="auto"/>
        <w:bottom w:val="none" w:sz="0" w:space="0" w:color="auto"/>
        <w:right w:val="none" w:sz="0" w:space="0" w:color="auto"/>
      </w:divBdr>
    </w:div>
    <w:div w:id="2057971445">
      <w:bodyDiv w:val="1"/>
      <w:marLeft w:val="0"/>
      <w:marRight w:val="0"/>
      <w:marTop w:val="0"/>
      <w:marBottom w:val="0"/>
      <w:divBdr>
        <w:top w:val="none" w:sz="0" w:space="0" w:color="auto"/>
        <w:left w:val="none" w:sz="0" w:space="0" w:color="auto"/>
        <w:bottom w:val="none" w:sz="0" w:space="0" w:color="auto"/>
        <w:right w:val="none" w:sz="0" w:space="0" w:color="auto"/>
      </w:divBdr>
    </w:div>
    <w:div w:id="2062902033">
      <w:bodyDiv w:val="1"/>
      <w:marLeft w:val="0"/>
      <w:marRight w:val="0"/>
      <w:marTop w:val="0"/>
      <w:marBottom w:val="0"/>
      <w:divBdr>
        <w:top w:val="none" w:sz="0" w:space="0" w:color="auto"/>
        <w:left w:val="none" w:sz="0" w:space="0" w:color="auto"/>
        <w:bottom w:val="none" w:sz="0" w:space="0" w:color="auto"/>
        <w:right w:val="none" w:sz="0" w:space="0" w:color="auto"/>
      </w:divBdr>
    </w:div>
    <w:div w:id="2070417985">
      <w:bodyDiv w:val="1"/>
      <w:marLeft w:val="0"/>
      <w:marRight w:val="0"/>
      <w:marTop w:val="0"/>
      <w:marBottom w:val="0"/>
      <w:divBdr>
        <w:top w:val="none" w:sz="0" w:space="0" w:color="auto"/>
        <w:left w:val="none" w:sz="0" w:space="0" w:color="auto"/>
        <w:bottom w:val="none" w:sz="0" w:space="0" w:color="auto"/>
        <w:right w:val="none" w:sz="0" w:space="0" w:color="auto"/>
      </w:divBdr>
    </w:div>
    <w:div w:id="2072146086">
      <w:bodyDiv w:val="1"/>
      <w:marLeft w:val="0"/>
      <w:marRight w:val="0"/>
      <w:marTop w:val="0"/>
      <w:marBottom w:val="0"/>
      <w:divBdr>
        <w:top w:val="none" w:sz="0" w:space="0" w:color="auto"/>
        <w:left w:val="none" w:sz="0" w:space="0" w:color="auto"/>
        <w:bottom w:val="none" w:sz="0" w:space="0" w:color="auto"/>
        <w:right w:val="none" w:sz="0" w:space="0" w:color="auto"/>
      </w:divBdr>
    </w:div>
    <w:div w:id="2072262751">
      <w:bodyDiv w:val="1"/>
      <w:marLeft w:val="0"/>
      <w:marRight w:val="0"/>
      <w:marTop w:val="0"/>
      <w:marBottom w:val="0"/>
      <w:divBdr>
        <w:top w:val="none" w:sz="0" w:space="0" w:color="auto"/>
        <w:left w:val="none" w:sz="0" w:space="0" w:color="auto"/>
        <w:bottom w:val="none" w:sz="0" w:space="0" w:color="auto"/>
        <w:right w:val="none" w:sz="0" w:space="0" w:color="auto"/>
      </w:divBdr>
    </w:div>
    <w:div w:id="2075228486">
      <w:bodyDiv w:val="1"/>
      <w:marLeft w:val="0"/>
      <w:marRight w:val="0"/>
      <w:marTop w:val="0"/>
      <w:marBottom w:val="0"/>
      <w:divBdr>
        <w:top w:val="none" w:sz="0" w:space="0" w:color="auto"/>
        <w:left w:val="none" w:sz="0" w:space="0" w:color="auto"/>
        <w:bottom w:val="none" w:sz="0" w:space="0" w:color="auto"/>
        <w:right w:val="none" w:sz="0" w:space="0" w:color="auto"/>
      </w:divBdr>
    </w:div>
    <w:div w:id="2081438688">
      <w:bodyDiv w:val="1"/>
      <w:marLeft w:val="0"/>
      <w:marRight w:val="0"/>
      <w:marTop w:val="0"/>
      <w:marBottom w:val="0"/>
      <w:divBdr>
        <w:top w:val="none" w:sz="0" w:space="0" w:color="auto"/>
        <w:left w:val="none" w:sz="0" w:space="0" w:color="auto"/>
        <w:bottom w:val="none" w:sz="0" w:space="0" w:color="auto"/>
        <w:right w:val="none" w:sz="0" w:space="0" w:color="auto"/>
      </w:divBdr>
    </w:div>
    <w:div w:id="2085368945">
      <w:bodyDiv w:val="1"/>
      <w:marLeft w:val="0"/>
      <w:marRight w:val="0"/>
      <w:marTop w:val="0"/>
      <w:marBottom w:val="0"/>
      <w:divBdr>
        <w:top w:val="none" w:sz="0" w:space="0" w:color="auto"/>
        <w:left w:val="none" w:sz="0" w:space="0" w:color="auto"/>
        <w:bottom w:val="none" w:sz="0" w:space="0" w:color="auto"/>
        <w:right w:val="none" w:sz="0" w:space="0" w:color="auto"/>
      </w:divBdr>
    </w:div>
    <w:div w:id="2088722173">
      <w:bodyDiv w:val="1"/>
      <w:marLeft w:val="0"/>
      <w:marRight w:val="0"/>
      <w:marTop w:val="0"/>
      <w:marBottom w:val="0"/>
      <w:divBdr>
        <w:top w:val="none" w:sz="0" w:space="0" w:color="auto"/>
        <w:left w:val="none" w:sz="0" w:space="0" w:color="auto"/>
        <w:bottom w:val="none" w:sz="0" w:space="0" w:color="auto"/>
        <w:right w:val="none" w:sz="0" w:space="0" w:color="auto"/>
      </w:divBdr>
    </w:div>
    <w:div w:id="2090998062">
      <w:bodyDiv w:val="1"/>
      <w:marLeft w:val="0"/>
      <w:marRight w:val="0"/>
      <w:marTop w:val="0"/>
      <w:marBottom w:val="0"/>
      <w:divBdr>
        <w:top w:val="none" w:sz="0" w:space="0" w:color="auto"/>
        <w:left w:val="none" w:sz="0" w:space="0" w:color="auto"/>
        <w:bottom w:val="none" w:sz="0" w:space="0" w:color="auto"/>
        <w:right w:val="none" w:sz="0" w:space="0" w:color="auto"/>
      </w:divBdr>
    </w:div>
    <w:div w:id="2099669288">
      <w:bodyDiv w:val="1"/>
      <w:marLeft w:val="0"/>
      <w:marRight w:val="0"/>
      <w:marTop w:val="0"/>
      <w:marBottom w:val="0"/>
      <w:divBdr>
        <w:top w:val="none" w:sz="0" w:space="0" w:color="auto"/>
        <w:left w:val="none" w:sz="0" w:space="0" w:color="auto"/>
        <w:bottom w:val="none" w:sz="0" w:space="0" w:color="auto"/>
        <w:right w:val="none" w:sz="0" w:space="0" w:color="auto"/>
      </w:divBdr>
    </w:div>
    <w:div w:id="2106147569">
      <w:bodyDiv w:val="1"/>
      <w:marLeft w:val="0"/>
      <w:marRight w:val="0"/>
      <w:marTop w:val="0"/>
      <w:marBottom w:val="0"/>
      <w:divBdr>
        <w:top w:val="none" w:sz="0" w:space="0" w:color="auto"/>
        <w:left w:val="none" w:sz="0" w:space="0" w:color="auto"/>
        <w:bottom w:val="none" w:sz="0" w:space="0" w:color="auto"/>
        <w:right w:val="none" w:sz="0" w:space="0" w:color="auto"/>
      </w:divBdr>
    </w:div>
    <w:div w:id="2108116538">
      <w:bodyDiv w:val="1"/>
      <w:marLeft w:val="0"/>
      <w:marRight w:val="0"/>
      <w:marTop w:val="0"/>
      <w:marBottom w:val="0"/>
      <w:divBdr>
        <w:top w:val="none" w:sz="0" w:space="0" w:color="auto"/>
        <w:left w:val="none" w:sz="0" w:space="0" w:color="auto"/>
        <w:bottom w:val="none" w:sz="0" w:space="0" w:color="auto"/>
        <w:right w:val="none" w:sz="0" w:space="0" w:color="auto"/>
      </w:divBdr>
    </w:div>
    <w:div w:id="2121485079">
      <w:bodyDiv w:val="1"/>
      <w:marLeft w:val="0"/>
      <w:marRight w:val="0"/>
      <w:marTop w:val="0"/>
      <w:marBottom w:val="0"/>
      <w:divBdr>
        <w:top w:val="none" w:sz="0" w:space="0" w:color="auto"/>
        <w:left w:val="none" w:sz="0" w:space="0" w:color="auto"/>
        <w:bottom w:val="none" w:sz="0" w:space="0" w:color="auto"/>
        <w:right w:val="none" w:sz="0" w:space="0" w:color="auto"/>
      </w:divBdr>
    </w:div>
    <w:div w:id="2123457083">
      <w:bodyDiv w:val="1"/>
      <w:marLeft w:val="0"/>
      <w:marRight w:val="0"/>
      <w:marTop w:val="0"/>
      <w:marBottom w:val="0"/>
      <w:divBdr>
        <w:top w:val="none" w:sz="0" w:space="0" w:color="auto"/>
        <w:left w:val="none" w:sz="0" w:space="0" w:color="auto"/>
        <w:bottom w:val="none" w:sz="0" w:space="0" w:color="auto"/>
        <w:right w:val="none" w:sz="0" w:space="0" w:color="auto"/>
      </w:divBdr>
    </w:div>
    <w:div w:id="2126383289">
      <w:bodyDiv w:val="1"/>
      <w:marLeft w:val="0"/>
      <w:marRight w:val="0"/>
      <w:marTop w:val="0"/>
      <w:marBottom w:val="0"/>
      <w:divBdr>
        <w:top w:val="none" w:sz="0" w:space="0" w:color="auto"/>
        <w:left w:val="none" w:sz="0" w:space="0" w:color="auto"/>
        <w:bottom w:val="none" w:sz="0" w:space="0" w:color="auto"/>
        <w:right w:val="none" w:sz="0" w:space="0" w:color="auto"/>
      </w:divBdr>
    </w:div>
    <w:div w:id="2131050603">
      <w:bodyDiv w:val="1"/>
      <w:marLeft w:val="0"/>
      <w:marRight w:val="0"/>
      <w:marTop w:val="0"/>
      <w:marBottom w:val="0"/>
      <w:divBdr>
        <w:top w:val="none" w:sz="0" w:space="0" w:color="auto"/>
        <w:left w:val="none" w:sz="0" w:space="0" w:color="auto"/>
        <w:bottom w:val="none" w:sz="0" w:space="0" w:color="auto"/>
        <w:right w:val="none" w:sz="0" w:space="0" w:color="auto"/>
      </w:divBdr>
    </w:div>
    <w:div w:id="2134396127">
      <w:bodyDiv w:val="1"/>
      <w:marLeft w:val="0"/>
      <w:marRight w:val="0"/>
      <w:marTop w:val="0"/>
      <w:marBottom w:val="0"/>
      <w:divBdr>
        <w:top w:val="none" w:sz="0" w:space="0" w:color="auto"/>
        <w:left w:val="none" w:sz="0" w:space="0" w:color="auto"/>
        <w:bottom w:val="none" w:sz="0" w:space="0" w:color="auto"/>
        <w:right w:val="none" w:sz="0" w:space="0" w:color="auto"/>
      </w:divBdr>
    </w:div>
    <w:div w:id="2135441404">
      <w:bodyDiv w:val="1"/>
      <w:marLeft w:val="0"/>
      <w:marRight w:val="0"/>
      <w:marTop w:val="0"/>
      <w:marBottom w:val="0"/>
      <w:divBdr>
        <w:top w:val="none" w:sz="0" w:space="0" w:color="auto"/>
        <w:left w:val="none" w:sz="0" w:space="0" w:color="auto"/>
        <w:bottom w:val="none" w:sz="0" w:space="0" w:color="auto"/>
        <w:right w:val="none" w:sz="0" w:space="0" w:color="auto"/>
      </w:divBdr>
    </w:div>
    <w:div w:id="2143158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cninfo.com.cn"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24317</Words>
  <Characters>138611</Characters>
  <Application>Microsoft Office Word</Application>
  <DocSecurity>0</DocSecurity>
  <Lines>1155</Lines>
  <Paragraphs>325</Paragraphs>
  <ScaleCrop>false</ScaleCrop>
  <Company>微软中国</Company>
  <LinksUpToDate>false</LinksUpToDate>
  <CharactersWithSpaces>162603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微软用户</cp:lastModifiedBy>
  <cp:revision>6</cp:revision>
  <dcterms:created xsi:type="dcterms:W3CDTF">2023-04-20T10:58:00Z</dcterms:created>
  <dcterms:modified xsi:type="dcterms:W3CDTF">2023-04-20T11:16:00Z</dcterms:modified>
</cp:coreProperties>
</file>